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2670" w14:textId="556919DF" w:rsidR="0016609F" w:rsidRDefault="00B8619E" w:rsidP="00CC7614">
      <w:pPr>
        <w:spacing w:after="0" w:line="360" w:lineRule="auto"/>
        <w:jc w:val="center"/>
        <w:rPr>
          <w:rFonts w:ascii="Times New Roman" w:hAnsi="Times New Roman" w:cs="Times New Roman"/>
          <w:b/>
          <w:bCs/>
          <w:smallCaps/>
          <w:sz w:val="24"/>
          <w:szCs w:val="24"/>
        </w:rPr>
      </w:pPr>
      <w:r w:rsidRPr="00B8619E">
        <w:rPr>
          <w:rFonts w:ascii="Times New Roman" w:hAnsi="Times New Roman" w:cs="Times New Roman"/>
          <w:b/>
          <w:bCs/>
          <w:smallCaps/>
          <w:sz w:val="24"/>
          <w:szCs w:val="24"/>
        </w:rPr>
        <w:t xml:space="preserve">Fixing </w:t>
      </w:r>
      <w:r w:rsidRPr="00B8619E">
        <w:rPr>
          <w:rFonts w:ascii="Times New Roman" w:hAnsi="Times New Roman" w:cs="Times New Roman"/>
          <w:b/>
          <w:bCs/>
          <w:i/>
          <w:iCs/>
          <w:smallCaps/>
          <w:sz w:val="24"/>
          <w:szCs w:val="24"/>
        </w:rPr>
        <w:t>MFW</w:t>
      </w:r>
      <w:r w:rsidRPr="00B8619E">
        <w:rPr>
          <w:rFonts w:ascii="Times New Roman" w:hAnsi="Times New Roman" w:cs="Times New Roman"/>
          <w:b/>
          <w:bCs/>
          <w:smallCaps/>
          <w:sz w:val="24"/>
          <w:szCs w:val="24"/>
        </w:rPr>
        <w:t xml:space="preserve">: </w:t>
      </w:r>
      <w:r w:rsidR="00CC7614">
        <w:rPr>
          <w:rFonts w:ascii="Times New Roman" w:hAnsi="Times New Roman" w:cs="Times New Roman"/>
          <w:b/>
          <w:bCs/>
          <w:smallCaps/>
          <w:sz w:val="24"/>
          <w:szCs w:val="24"/>
        </w:rPr>
        <w:t>Fairness and Vision in Controller Self-Dealing</w:t>
      </w:r>
    </w:p>
    <w:p w14:paraId="3C12611F" w14:textId="446CF44B" w:rsidR="009A7171" w:rsidRDefault="009A7171" w:rsidP="00CC7614">
      <w:pPr>
        <w:spacing w:after="0" w:line="360" w:lineRule="auto"/>
        <w:jc w:val="center"/>
        <w:rPr>
          <w:rFonts w:ascii="Times New Roman" w:hAnsi="Times New Roman" w:cs="Times New Roman"/>
          <w:b/>
          <w:bCs/>
          <w:smallCaps/>
          <w:sz w:val="24"/>
          <w:szCs w:val="24"/>
        </w:rPr>
      </w:pPr>
    </w:p>
    <w:p w14:paraId="22E4A86E" w14:textId="77777777" w:rsidR="009A7171" w:rsidRPr="0042152F" w:rsidRDefault="009A7171" w:rsidP="00CC7614">
      <w:pPr>
        <w:spacing w:after="0" w:line="360" w:lineRule="auto"/>
        <w:jc w:val="center"/>
        <w:rPr>
          <w:rFonts w:ascii="Times New Roman" w:hAnsi="Times New Roman" w:cs="Times New Roman"/>
          <w:sz w:val="24"/>
          <w:szCs w:val="24"/>
        </w:rPr>
        <w:sectPr w:rsidR="009A7171" w:rsidRPr="0042152F" w:rsidSect="00615C90">
          <w:footerReference w:type="default" r:id="rId8"/>
          <w:pgSz w:w="12240" w:h="15840"/>
          <w:pgMar w:top="1440" w:right="1440" w:bottom="1440" w:left="1440" w:header="720" w:footer="720" w:gutter="0"/>
          <w:pgNumType w:start="0"/>
          <w:cols w:space="720"/>
          <w:docGrid w:linePitch="360"/>
        </w:sectPr>
      </w:pPr>
    </w:p>
    <w:p w14:paraId="410D3587" w14:textId="6586E792" w:rsidR="00597088" w:rsidRPr="0042152F" w:rsidRDefault="00597088" w:rsidP="00B54C7C">
      <w:pPr>
        <w:spacing w:after="0" w:line="360" w:lineRule="auto"/>
        <w:jc w:val="center"/>
        <w:rPr>
          <w:rFonts w:ascii="Times New Roman" w:hAnsi="Times New Roman" w:cs="Times New Roman"/>
          <w:sz w:val="24"/>
          <w:szCs w:val="24"/>
        </w:rPr>
      </w:pPr>
      <w:r w:rsidRPr="0042152F">
        <w:rPr>
          <w:rFonts w:ascii="Times New Roman" w:hAnsi="Times New Roman" w:cs="Times New Roman"/>
          <w:sz w:val="24"/>
          <w:szCs w:val="24"/>
        </w:rPr>
        <w:t>Zohar Goshen</w:t>
      </w:r>
      <w:r w:rsidR="006E6AC6" w:rsidRPr="0042152F">
        <w:rPr>
          <w:rFonts w:ascii="Times New Roman" w:hAnsi="Times New Roman" w:cs="Times New Roman"/>
          <w:sz w:val="24"/>
          <w:szCs w:val="24"/>
        </w:rPr>
        <w:t>,</w:t>
      </w:r>
      <w:r w:rsidR="00534FDD" w:rsidRPr="0042152F">
        <w:rPr>
          <w:rStyle w:val="FootnoteReference"/>
          <w:rFonts w:ascii="Times New Roman" w:hAnsi="Times New Roman" w:cs="Times New Roman"/>
          <w:sz w:val="24"/>
          <w:szCs w:val="24"/>
        </w:rPr>
        <w:footnoteReference w:customMarkFollows="1" w:id="2"/>
        <w:t>*</w:t>
      </w:r>
      <w:r w:rsidR="006E6AC6" w:rsidRPr="0042152F">
        <w:rPr>
          <w:rFonts w:ascii="Times New Roman" w:hAnsi="Times New Roman" w:cs="Times New Roman"/>
          <w:sz w:val="24"/>
          <w:szCs w:val="24"/>
        </w:rPr>
        <w:t xml:space="preserve"> </w:t>
      </w:r>
      <w:r w:rsidRPr="0042152F">
        <w:rPr>
          <w:rFonts w:ascii="Times New Roman" w:hAnsi="Times New Roman" w:cs="Times New Roman"/>
          <w:sz w:val="24"/>
          <w:szCs w:val="24"/>
        </w:rPr>
        <w:t>Assaf Hamdani</w:t>
      </w:r>
      <w:r w:rsidR="006E6AC6" w:rsidRPr="0042152F">
        <w:rPr>
          <w:rFonts w:ascii="Times New Roman" w:hAnsi="Times New Roman" w:cs="Times New Roman"/>
          <w:sz w:val="24"/>
          <w:szCs w:val="24"/>
        </w:rPr>
        <w:t>,</w:t>
      </w:r>
      <w:r w:rsidR="00534FDD" w:rsidRPr="0042152F">
        <w:rPr>
          <w:rStyle w:val="FootnoteReference"/>
          <w:rFonts w:ascii="Times New Roman" w:hAnsi="Times New Roman" w:cs="Times New Roman"/>
          <w:sz w:val="24"/>
          <w:szCs w:val="24"/>
        </w:rPr>
        <w:footnoteReference w:customMarkFollows="1" w:id="3"/>
        <w:t>*</w:t>
      </w:r>
      <w:r w:rsidR="006E6AC6" w:rsidRPr="0042152F">
        <w:rPr>
          <w:rFonts w:ascii="Times New Roman" w:hAnsi="Times New Roman" w:cs="Times New Roman"/>
          <w:sz w:val="24"/>
          <w:szCs w:val="24"/>
        </w:rPr>
        <w:t xml:space="preserve"> and </w:t>
      </w:r>
      <w:r w:rsidR="00F64FD9" w:rsidRPr="0042152F">
        <w:rPr>
          <w:rFonts w:ascii="Times New Roman" w:hAnsi="Times New Roman" w:cs="Times New Roman"/>
          <w:sz w:val="24"/>
          <w:szCs w:val="24"/>
        </w:rPr>
        <w:t>Dorothy Lund</w:t>
      </w:r>
      <w:r w:rsidR="00534FDD" w:rsidRPr="0042152F">
        <w:rPr>
          <w:rStyle w:val="FootnoteReference"/>
          <w:rFonts w:ascii="Times New Roman" w:hAnsi="Times New Roman" w:cs="Times New Roman"/>
          <w:sz w:val="24"/>
          <w:szCs w:val="24"/>
        </w:rPr>
        <w:footnoteReference w:customMarkFollows="1" w:id="4"/>
        <w:t>*</w:t>
      </w:r>
    </w:p>
    <w:p w14:paraId="0BD6DD8A" w14:textId="7248E7E9" w:rsidR="00534FDD" w:rsidRDefault="00534FDD" w:rsidP="00B54C7C">
      <w:pPr>
        <w:spacing w:after="0" w:line="360" w:lineRule="auto"/>
        <w:jc w:val="center"/>
        <w:rPr>
          <w:rFonts w:ascii="Times New Roman" w:hAnsi="Times New Roman" w:cs="Times New Roman"/>
          <w:b/>
          <w:bCs/>
          <w:i/>
          <w:iCs/>
          <w:sz w:val="24"/>
          <w:szCs w:val="24"/>
        </w:rPr>
      </w:pPr>
    </w:p>
    <w:p w14:paraId="71F5C210" w14:textId="77777777" w:rsidR="00F10F44" w:rsidRPr="0042152F" w:rsidRDefault="00F10F44" w:rsidP="00B54C7C">
      <w:pPr>
        <w:spacing w:after="0" w:line="360" w:lineRule="auto"/>
        <w:jc w:val="center"/>
        <w:rPr>
          <w:rFonts w:ascii="Times New Roman" w:hAnsi="Times New Roman" w:cs="Times New Roman"/>
          <w:b/>
          <w:bCs/>
          <w:i/>
          <w:iCs/>
          <w:sz w:val="24"/>
          <w:szCs w:val="24"/>
        </w:rPr>
        <w:sectPr w:rsidR="00F10F44" w:rsidRPr="0042152F" w:rsidSect="00534FDD">
          <w:footnotePr>
            <w:numRestart w:val="eachSect"/>
          </w:footnotePr>
          <w:type w:val="continuous"/>
          <w:pgSz w:w="12240" w:h="15840"/>
          <w:pgMar w:top="1440" w:right="1440" w:bottom="1440" w:left="1440" w:header="720" w:footer="720" w:gutter="0"/>
          <w:pgNumType w:start="0"/>
          <w:cols w:space="720"/>
          <w:docGrid w:linePitch="360"/>
        </w:sectPr>
      </w:pPr>
    </w:p>
    <w:p w14:paraId="5D21EA08" w14:textId="7476C7AB" w:rsidR="004B36D7" w:rsidRPr="0042152F" w:rsidRDefault="00E50EAF" w:rsidP="00B54C7C">
      <w:pPr>
        <w:spacing w:after="0" w:line="360" w:lineRule="auto"/>
        <w:jc w:val="center"/>
        <w:rPr>
          <w:rFonts w:ascii="Times New Roman" w:hAnsi="Times New Roman" w:cs="Times New Roman"/>
          <w:b/>
          <w:bCs/>
          <w:i/>
          <w:iCs/>
          <w:sz w:val="24"/>
          <w:szCs w:val="24"/>
        </w:rPr>
      </w:pPr>
      <w:r w:rsidRPr="0042152F">
        <w:rPr>
          <w:rFonts w:ascii="Times New Roman" w:hAnsi="Times New Roman" w:cs="Times New Roman"/>
          <w:b/>
          <w:bCs/>
          <w:i/>
          <w:iCs/>
          <w:sz w:val="24"/>
          <w:szCs w:val="24"/>
        </w:rPr>
        <w:t>Abstract</w:t>
      </w:r>
    </w:p>
    <w:p w14:paraId="38B97F34" w14:textId="3CF7A36E" w:rsidR="004B36D7" w:rsidRDefault="004B36D7" w:rsidP="00B54C7C">
      <w:pPr>
        <w:spacing w:after="0"/>
        <w:ind w:left="720" w:right="720" w:firstLine="720"/>
        <w:jc w:val="both"/>
        <w:rPr>
          <w:rFonts w:ascii="Times New Roman" w:hAnsi="Times New Roman" w:cs="Times New Roman"/>
          <w:i/>
          <w:iCs/>
          <w:sz w:val="24"/>
          <w:szCs w:val="24"/>
        </w:rPr>
      </w:pPr>
      <w:r w:rsidRPr="0016609F">
        <w:rPr>
          <w:rFonts w:ascii="Times New Roman" w:hAnsi="Times New Roman" w:cs="Times New Roman"/>
          <w:i/>
          <w:iCs/>
          <w:sz w:val="24"/>
          <w:szCs w:val="24"/>
        </w:rPr>
        <w:t>The l</w:t>
      </w:r>
      <w:r w:rsidR="00345578" w:rsidRPr="0016609F">
        <w:rPr>
          <w:rFonts w:ascii="Times New Roman" w:hAnsi="Times New Roman" w:cs="Times New Roman"/>
          <w:i/>
          <w:iCs/>
          <w:sz w:val="24"/>
          <w:szCs w:val="24"/>
        </w:rPr>
        <w:t>egal regime</w:t>
      </w:r>
      <w:r w:rsidRPr="0016609F">
        <w:rPr>
          <w:rFonts w:ascii="Times New Roman" w:hAnsi="Times New Roman" w:cs="Times New Roman"/>
          <w:i/>
          <w:iCs/>
          <w:sz w:val="24"/>
          <w:szCs w:val="24"/>
        </w:rPr>
        <w:t xml:space="preserve"> </w:t>
      </w:r>
      <w:r w:rsidR="003E2075" w:rsidRPr="0016609F">
        <w:rPr>
          <w:rFonts w:ascii="Times New Roman" w:hAnsi="Times New Roman" w:cs="Times New Roman"/>
          <w:i/>
          <w:iCs/>
          <w:sz w:val="24"/>
          <w:szCs w:val="24"/>
        </w:rPr>
        <w:t>governing</w:t>
      </w:r>
      <w:r w:rsidRPr="0016609F">
        <w:rPr>
          <w:rFonts w:ascii="Times New Roman" w:hAnsi="Times New Roman" w:cs="Times New Roman"/>
          <w:i/>
          <w:iCs/>
          <w:sz w:val="24"/>
          <w:szCs w:val="24"/>
        </w:rPr>
        <w:t xml:space="preserve"> controlling shareholder</w:t>
      </w:r>
      <w:r w:rsidR="009C3464" w:rsidRPr="0016609F">
        <w:rPr>
          <w:rFonts w:ascii="Times New Roman" w:hAnsi="Times New Roman" w:cs="Times New Roman"/>
          <w:i/>
          <w:iCs/>
          <w:sz w:val="24"/>
          <w:szCs w:val="24"/>
        </w:rPr>
        <w:t>s relies</w:t>
      </w:r>
      <w:r w:rsidRPr="0016609F">
        <w:rPr>
          <w:rFonts w:ascii="Times New Roman" w:hAnsi="Times New Roman" w:cs="Times New Roman"/>
          <w:i/>
          <w:iCs/>
          <w:sz w:val="24"/>
          <w:szCs w:val="24"/>
        </w:rPr>
        <w:t xml:space="preserve"> on the court’s ability to </w:t>
      </w:r>
      <w:r w:rsidR="009C3464" w:rsidRPr="0016609F">
        <w:rPr>
          <w:rFonts w:ascii="Times New Roman" w:hAnsi="Times New Roman" w:cs="Times New Roman"/>
          <w:i/>
          <w:iCs/>
          <w:sz w:val="24"/>
          <w:szCs w:val="24"/>
        </w:rPr>
        <w:t>police conflict</w:t>
      </w:r>
      <w:r w:rsidR="003E2075" w:rsidRPr="0016609F">
        <w:rPr>
          <w:rFonts w:ascii="Times New Roman" w:hAnsi="Times New Roman" w:cs="Times New Roman"/>
          <w:i/>
          <w:iCs/>
          <w:sz w:val="24"/>
          <w:szCs w:val="24"/>
        </w:rPr>
        <w:t>ed</w:t>
      </w:r>
      <w:r w:rsidR="009C3464" w:rsidRPr="0016609F">
        <w:rPr>
          <w:rFonts w:ascii="Times New Roman" w:hAnsi="Times New Roman" w:cs="Times New Roman"/>
          <w:i/>
          <w:iCs/>
          <w:sz w:val="24"/>
          <w:szCs w:val="24"/>
        </w:rPr>
        <w:t xml:space="preserve"> transactions under the stringent “entire fairness” standard of review</w:t>
      </w:r>
      <w:r w:rsidRPr="0016609F">
        <w:rPr>
          <w:rFonts w:ascii="Times New Roman" w:hAnsi="Times New Roman" w:cs="Times New Roman"/>
          <w:i/>
          <w:iCs/>
          <w:sz w:val="24"/>
          <w:szCs w:val="24"/>
        </w:rPr>
        <w:t xml:space="preserve">. </w:t>
      </w:r>
      <w:r w:rsidR="00304340" w:rsidRPr="0016609F">
        <w:rPr>
          <w:rFonts w:ascii="Times New Roman" w:hAnsi="Times New Roman" w:cs="Times New Roman"/>
          <w:i/>
          <w:iCs/>
          <w:sz w:val="24"/>
          <w:szCs w:val="24"/>
        </w:rPr>
        <w:t>This review involves both implicit valuation</w:t>
      </w:r>
      <w:r w:rsidR="00CE299F" w:rsidRPr="0016609F">
        <w:rPr>
          <w:rFonts w:ascii="Times New Roman" w:hAnsi="Times New Roman" w:cs="Times New Roman"/>
          <w:i/>
          <w:iCs/>
          <w:sz w:val="24"/>
          <w:szCs w:val="24"/>
        </w:rPr>
        <w:t>—</w:t>
      </w:r>
      <w:r w:rsidR="00304340" w:rsidRPr="0016609F">
        <w:rPr>
          <w:rFonts w:ascii="Times New Roman" w:hAnsi="Times New Roman" w:cs="Times New Roman"/>
          <w:i/>
          <w:iCs/>
          <w:sz w:val="24"/>
          <w:szCs w:val="24"/>
        </w:rPr>
        <w:t>evaluating the transaction process</w:t>
      </w:r>
      <w:r w:rsidR="00DB54F2">
        <w:rPr>
          <w:rFonts w:ascii="Times New Roman" w:hAnsi="Times New Roman" w:cs="Times New Roman"/>
          <w:i/>
          <w:iCs/>
          <w:sz w:val="24"/>
          <w:szCs w:val="24"/>
        </w:rPr>
        <w:t xml:space="preserve">, </w:t>
      </w:r>
      <w:r w:rsidR="00304340" w:rsidRPr="0016609F">
        <w:rPr>
          <w:rFonts w:ascii="Times New Roman" w:hAnsi="Times New Roman" w:cs="Times New Roman"/>
          <w:i/>
          <w:iCs/>
          <w:sz w:val="24"/>
          <w:szCs w:val="24"/>
        </w:rPr>
        <w:t>and explicit valuation</w:t>
      </w:r>
      <w:r w:rsidR="00CE299F" w:rsidRPr="0016609F">
        <w:rPr>
          <w:rFonts w:ascii="Times New Roman" w:hAnsi="Times New Roman" w:cs="Times New Roman"/>
          <w:i/>
          <w:iCs/>
          <w:sz w:val="24"/>
          <w:szCs w:val="24"/>
        </w:rPr>
        <w:t>—</w:t>
      </w:r>
      <w:r w:rsidR="00304340" w:rsidRPr="0016609F">
        <w:rPr>
          <w:rFonts w:ascii="Times New Roman" w:hAnsi="Times New Roman" w:cs="Times New Roman"/>
          <w:i/>
          <w:iCs/>
          <w:sz w:val="24"/>
          <w:szCs w:val="24"/>
        </w:rPr>
        <w:t xml:space="preserve">assessing the fairness of the transaction’s </w:t>
      </w:r>
      <w:r w:rsidR="005B5EE9">
        <w:rPr>
          <w:rFonts w:ascii="Times New Roman" w:hAnsi="Times New Roman" w:cs="Times New Roman"/>
          <w:i/>
          <w:iCs/>
          <w:sz w:val="24"/>
          <w:szCs w:val="24"/>
        </w:rPr>
        <w:t>financial terms</w:t>
      </w:r>
      <w:r w:rsidR="00304340" w:rsidRPr="0016609F">
        <w:rPr>
          <w:rFonts w:ascii="Times New Roman" w:hAnsi="Times New Roman" w:cs="Times New Roman"/>
          <w:i/>
          <w:iCs/>
          <w:sz w:val="24"/>
          <w:szCs w:val="24"/>
        </w:rPr>
        <w:t xml:space="preserve">. </w:t>
      </w:r>
      <w:r w:rsidR="00623BE5">
        <w:rPr>
          <w:rFonts w:ascii="Times New Roman" w:hAnsi="Times New Roman" w:cs="Times New Roman"/>
          <w:i/>
          <w:iCs/>
          <w:sz w:val="24"/>
          <w:szCs w:val="24"/>
        </w:rPr>
        <w:t>O</w:t>
      </w:r>
      <w:r w:rsidR="00304340" w:rsidRPr="0016609F">
        <w:rPr>
          <w:rFonts w:ascii="Times New Roman" w:hAnsi="Times New Roman" w:cs="Times New Roman"/>
          <w:i/>
          <w:iCs/>
          <w:sz w:val="24"/>
          <w:szCs w:val="24"/>
        </w:rPr>
        <w:t>ur research reveals a critical flaw</w:t>
      </w:r>
      <w:r w:rsidR="00DB54F2">
        <w:rPr>
          <w:rFonts w:ascii="Times New Roman" w:hAnsi="Times New Roman" w:cs="Times New Roman"/>
          <w:i/>
          <w:iCs/>
          <w:sz w:val="24"/>
          <w:szCs w:val="24"/>
        </w:rPr>
        <w:t xml:space="preserve"> in this regime</w:t>
      </w:r>
      <w:r w:rsidR="00304340" w:rsidRPr="0016609F">
        <w:rPr>
          <w:rFonts w:ascii="Times New Roman" w:hAnsi="Times New Roman" w:cs="Times New Roman"/>
          <w:i/>
          <w:iCs/>
          <w:sz w:val="24"/>
          <w:szCs w:val="24"/>
        </w:rPr>
        <w:t xml:space="preserve">: </w:t>
      </w:r>
      <w:r w:rsidRPr="0016609F">
        <w:rPr>
          <w:rFonts w:ascii="Times New Roman" w:hAnsi="Times New Roman" w:cs="Times New Roman"/>
          <w:i/>
          <w:iCs/>
          <w:sz w:val="24"/>
          <w:szCs w:val="24"/>
        </w:rPr>
        <w:t xml:space="preserve">courts cannot reliably </w:t>
      </w:r>
      <w:r w:rsidR="00DB54F2">
        <w:rPr>
          <w:rFonts w:ascii="Times New Roman" w:hAnsi="Times New Roman" w:cs="Times New Roman"/>
          <w:i/>
          <w:iCs/>
          <w:sz w:val="24"/>
          <w:szCs w:val="24"/>
        </w:rPr>
        <w:t>engage in</w:t>
      </w:r>
      <w:r w:rsidRPr="0016609F">
        <w:rPr>
          <w:rFonts w:ascii="Times New Roman" w:hAnsi="Times New Roman" w:cs="Times New Roman"/>
          <w:i/>
          <w:iCs/>
          <w:sz w:val="24"/>
          <w:szCs w:val="24"/>
        </w:rPr>
        <w:t xml:space="preserve"> valuation when the transaction involves an entrepreneur’s idiosyncratic vision</w:t>
      </w:r>
      <w:r w:rsidR="00623BE5">
        <w:rPr>
          <w:rFonts w:ascii="Times New Roman" w:hAnsi="Times New Roman" w:cs="Times New Roman"/>
          <w:i/>
          <w:iCs/>
          <w:sz w:val="24"/>
          <w:szCs w:val="24"/>
        </w:rPr>
        <w:t xml:space="preserve"> for the </w:t>
      </w:r>
      <w:r w:rsidR="00C03C36">
        <w:rPr>
          <w:rFonts w:ascii="Times New Roman" w:hAnsi="Times New Roman" w:cs="Times New Roman"/>
          <w:i/>
          <w:iCs/>
          <w:sz w:val="24"/>
          <w:szCs w:val="24"/>
        </w:rPr>
        <w:t>company</w:t>
      </w:r>
      <w:r w:rsidRPr="0016609F">
        <w:rPr>
          <w:rFonts w:ascii="Times New Roman" w:hAnsi="Times New Roman" w:cs="Times New Roman"/>
          <w:i/>
          <w:iCs/>
          <w:sz w:val="24"/>
          <w:szCs w:val="24"/>
        </w:rPr>
        <w:t xml:space="preserve">. As a result, there is a gaping hole in </w:t>
      </w:r>
      <w:r w:rsidR="00304340" w:rsidRPr="0016609F">
        <w:rPr>
          <w:rFonts w:ascii="Times New Roman" w:hAnsi="Times New Roman" w:cs="Times New Roman"/>
          <w:i/>
          <w:iCs/>
          <w:sz w:val="24"/>
          <w:szCs w:val="24"/>
        </w:rPr>
        <w:t>Delaware's framework for policing the fairness of controller transactions</w:t>
      </w:r>
      <w:r w:rsidR="009C3464" w:rsidRPr="0016609F">
        <w:rPr>
          <w:rFonts w:ascii="Times New Roman" w:hAnsi="Times New Roman" w:cs="Times New Roman"/>
          <w:i/>
          <w:iCs/>
          <w:sz w:val="24"/>
          <w:szCs w:val="24"/>
        </w:rPr>
        <w:t>.</w:t>
      </w:r>
    </w:p>
    <w:p w14:paraId="46FE860C" w14:textId="5CC77953" w:rsidR="00F87C4E" w:rsidRPr="0016609F" w:rsidRDefault="004B36D7" w:rsidP="00B54C7C">
      <w:pPr>
        <w:spacing w:after="0"/>
        <w:ind w:left="720" w:right="720" w:firstLine="720"/>
        <w:jc w:val="both"/>
        <w:rPr>
          <w:rFonts w:ascii="Times New Roman" w:hAnsi="Times New Roman" w:cs="Times New Roman"/>
          <w:i/>
          <w:iCs/>
          <w:sz w:val="24"/>
          <w:szCs w:val="24"/>
        </w:rPr>
      </w:pPr>
      <w:r w:rsidRPr="0016609F">
        <w:rPr>
          <w:rFonts w:ascii="Times New Roman" w:hAnsi="Times New Roman" w:cs="Times New Roman"/>
          <w:i/>
          <w:iCs/>
          <w:sz w:val="24"/>
          <w:szCs w:val="24"/>
        </w:rPr>
        <w:t>Delaware courts have</w:t>
      </w:r>
      <w:r w:rsidR="007A5198" w:rsidRPr="0016609F">
        <w:rPr>
          <w:rFonts w:ascii="Times New Roman" w:hAnsi="Times New Roman" w:cs="Times New Roman"/>
          <w:i/>
          <w:iCs/>
          <w:sz w:val="24"/>
          <w:szCs w:val="24"/>
        </w:rPr>
        <w:t xml:space="preserve"> </w:t>
      </w:r>
      <w:r w:rsidRPr="0016609F">
        <w:rPr>
          <w:rFonts w:ascii="Times New Roman" w:hAnsi="Times New Roman" w:cs="Times New Roman"/>
          <w:i/>
          <w:iCs/>
          <w:sz w:val="24"/>
          <w:szCs w:val="24"/>
        </w:rPr>
        <w:t xml:space="preserve">developed guardrails </w:t>
      </w:r>
      <w:r w:rsidR="00DB54F2">
        <w:rPr>
          <w:rFonts w:ascii="Times New Roman" w:hAnsi="Times New Roman" w:cs="Times New Roman"/>
          <w:i/>
          <w:iCs/>
          <w:sz w:val="24"/>
          <w:szCs w:val="24"/>
        </w:rPr>
        <w:t>to</w:t>
      </w:r>
      <w:r w:rsidRPr="0016609F">
        <w:rPr>
          <w:rFonts w:ascii="Times New Roman" w:hAnsi="Times New Roman" w:cs="Times New Roman"/>
          <w:i/>
          <w:iCs/>
          <w:sz w:val="24"/>
          <w:szCs w:val="24"/>
        </w:rPr>
        <w:t xml:space="preserve"> </w:t>
      </w:r>
      <w:r w:rsidR="00DB54F2">
        <w:rPr>
          <w:rFonts w:ascii="Times New Roman" w:hAnsi="Times New Roman" w:cs="Times New Roman"/>
          <w:i/>
          <w:iCs/>
          <w:sz w:val="24"/>
          <w:szCs w:val="24"/>
        </w:rPr>
        <w:t>avoid judicial</w:t>
      </w:r>
      <w:r w:rsidRPr="0016609F">
        <w:rPr>
          <w:rFonts w:ascii="Times New Roman" w:hAnsi="Times New Roman" w:cs="Times New Roman"/>
          <w:i/>
          <w:iCs/>
          <w:sz w:val="24"/>
          <w:szCs w:val="24"/>
        </w:rPr>
        <w:t xml:space="preserve"> valuation</w:t>
      </w:r>
      <w:r w:rsidR="003E2075" w:rsidRPr="0016609F">
        <w:rPr>
          <w:rFonts w:ascii="Times New Roman" w:hAnsi="Times New Roman" w:cs="Times New Roman"/>
          <w:i/>
          <w:iCs/>
          <w:sz w:val="24"/>
          <w:szCs w:val="24"/>
        </w:rPr>
        <w:t xml:space="preserve"> </w:t>
      </w:r>
      <w:r w:rsidR="00F87C4E" w:rsidRPr="0016609F">
        <w:rPr>
          <w:rFonts w:ascii="Times New Roman" w:hAnsi="Times New Roman" w:cs="Times New Roman"/>
          <w:i/>
          <w:iCs/>
          <w:sz w:val="24"/>
          <w:szCs w:val="24"/>
        </w:rPr>
        <w:t xml:space="preserve">by </w:t>
      </w:r>
      <w:r w:rsidR="007A5198" w:rsidRPr="0016609F">
        <w:rPr>
          <w:rFonts w:ascii="Times New Roman" w:hAnsi="Times New Roman" w:cs="Times New Roman"/>
          <w:i/>
          <w:iCs/>
          <w:sz w:val="24"/>
          <w:szCs w:val="24"/>
        </w:rPr>
        <w:t xml:space="preserve">rewarding </w:t>
      </w:r>
      <w:r w:rsidR="00F87C4E" w:rsidRPr="0016609F">
        <w:rPr>
          <w:rFonts w:ascii="Times New Roman" w:hAnsi="Times New Roman" w:cs="Times New Roman"/>
          <w:i/>
          <w:iCs/>
          <w:sz w:val="24"/>
          <w:szCs w:val="24"/>
        </w:rPr>
        <w:t xml:space="preserve">controllers </w:t>
      </w:r>
      <w:r w:rsidR="007A5198" w:rsidRPr="0016609F">
        <w:rPr>
          <w:rFonts w:ascii="Times New Roman" w:hAnsi="Times New Roman" w:cs="Times New Roman"/>
          <w:i/>
          <w:iCs/>
          <w:sz w:val="24"/>
          <w:szCs w:val="24"/>
        </w:rPr>
        <w:t xml:space="preserve">that </w:t>
      </w:r>
      <w:r w:rsidR="00F87C4E" w:rsidRPr="0016609F">
        <w:rPr>
          <w:rFonts w:ascii="Times New Roman" w:hAnsi="Times New Roman" w:cs="Times New Roman"/>
          <w:i/>
          <w:iCs/>
          <w:sz w:val="24"/>
          <w:szCs w:val="24"/>
        </w:rPr>
        <w:t xml:space="preserve">implement </w:t>
      </w:r>
      <w:r w:rsidRPr="0016609F">
        <w:rPr>
          <w:rFonts w:ascii="Times New Roman" w:hAnsi="Times New Roman" w:cs="Times New Roman"/>
          <w:i/>
          <w:iCs/>
          <w:sz w:val="24"/>
          <w:szCs w:val="24"/>
        </w:rPr>
        <w:t xml:space="preserve">procedural </w:t>
      </w:r>
      <w:r w:rsidR="007A5198" w:rsidRPr="0016609F">
        <w:rPr>
          <w:rFonts w:ascii="Times New Roman" w:hAnsi="Times New Roman" w:cs="Times New Roman"/>
          <w:i/>
          <w:iCs/>
          <w:sz w:val="24"/>
          <w:szCs w:val="24"/>
        </w:rPr>
        <w:t xml:space="preserve">protections for </w:t>
      </w:r>
      <w:r w:rsidR="00277DB1" w:rsidRPr="0016609F">
        <w:rPr>
          <w:rFonts w:ascii="Times New Roman" w:hAnsi="Times New Roman" w:cs="Times New Roman"/>
          <w:i/>
          <w:iCs/>
          <w:sz w:val="24"/>
          <w:szCs w:val="24"/>
        </w:rPr>
        <w:t>minority shareholders with more favorable review</w:t>
      </w:r>
      <w:r w:rsidRPr="0016609F">
        <w:rPr>
          <w:rFonts w:ascii="Times New Roman" w:hAnsi="Times New Roman" w:cs="Times New Roman"/>
          <w:i/>
          <w:iCs/>
          <w:sz w:val="24"/>
          <w:szCs w:val="24"/>
        </w:rPr>
        <w:t xml:space="preserve">. Nonetheless, we </w:t>
      </w:r>
      <w:r w:rsidR="00345578" w:rsidRPr="0016609F">
        <w:rPr>
          <w:rFonts w:ascii="Times New Roman" w:hAnsi="Times New Roman" w:cs="Times New Roman"/>
          <w:i/>
          <w:iCs/>
          <w:sz w:val="24"/>
          <w:szCs w:val="24"/>
        </w:rPr>
        <w:t>describe how</w:t>
      </w:r>
      <w:r w:rsidRPr="0016609F">
        <w:rPr>
          <w:rFonts w:ascii="Times New Roman" w:hAnsi="Times New Roman" w:cs="Times New Roman"/>
          <w:i/>
          <w:iCs/>
          <w:sz w:val="24"/>
          <w:szCs w:val="24"/>
        </w:rPr>
        <w:t xml:space="preserve"> </w:t>
      </w:r>
      <w:r w:rsidR="009C3464" w:rsidRPr="0016609F">
        <w:rPr>
          <w:rFonts w:ascii="Times New Roman" w:hAnsi="Times New Roman" w:cs="Times New Roman"/>
          <w:i/>
          <w:iCs/>
          <w:sz w:val="24"/>
          <w:szCs w:val="24"/>
        </w:rPr>
        <w:t xml:space="preserve">these guardrails </w:t>
      </w:r>
      <w:r w:rsidR="00F11B77" w:rsidRPr="0016609F">
        <w:rPr>
          <w:rFonts w:ascii="Times New Roman" w:hAnsi="Times New Roman" w:cs="Times New Roman"/>
          <w:i/>
          <w:iCs/>
          <w:sz w:val="24"/>
          <w:szCs w:val="24"/>
        </w:rPr>
        <w:t xml:space="preserve">have been </w:t>
      </w:r>
      <w:r w:rsidR="007A5198" w:rsidRPr="0016609F">
        <w:rPr>
          <w:rFonts w:ascii="Times New Roman" w:hAnsi="Times New Roman" w:cs="Times New Roman"/>
          <w:i/>
          <w:iCs/>
          <w:sz w:val="24"/>
          <w:szCs w:val="24"/>
        </w:rPr>
        <w:t>failing more and more often</w:t>
      </w:r>
      <w:r w:rsidR="00F11B77" w:rsidRPr="0016609F">
        <w:rPr>
          <w:rFonts w:ascii="Times New Roman" w:hAnsi="Times New Roman" w:cs="Times New Roman"/>
          <w:i/>
          <w:iCs/>
          <w:sz w:val="24"/>
          <w:szCs w:val="24"/>
        </w:rPr>
        <w:t xml:space="preserve">, </w:t>
      </w:r>
      <w:r w:rsidR="00F87C4E" w:rsidRPr="0016609F">
        <w:rPr>
          <w:rFonts w:ascii="Times New Roman" w:hAnsi="Times New Roman" w:cs="Times New Roman"/>
          <w:i/>
          <w:iCs/>
          <w:sz w:val="24"/>
          <w:szCs w:val="24"/>
        </w:rPr>
        <w:t>forcing judicial valuation to the forefront of trials</w:t>
      </w:r>
      <w:r w:rsidR="007A5198" w:rsidRPr="0016609F">
        <w:rPr>
          <w:rFonts w:ascii="Times New Roman" w:hAnsi="Times New Roman" w:cs="Times New Roman"/>
          <w:i/>
          <w:iCs/>
          <w:sz w:val="24"/>
          <w:szCs w:val="24"/>
        </w:rPr>
        <w:t xml:space="preserve"> and negating the informed input of shareholders</w:t>
      </w:r>
      <w:r w:rsidR="00F87C4E" w:rsidRPr="0016609F">
        <w:rPr>
          <w:rFonts w:ascii="Times New Roman" w:hAnsi="Times New Roman" w:cs="Times New Roman"/>
          <w:i/>
          <w:iCs/>
          <w:sz w:val="24"/>
          <w:szCs w:val="24"/>
        </w:rPr>
        <w:t xml:space="preserve">. To address this shortcoming, we propose </w:t>
      </w:r>
      <w:r w:rsidR="00DB54F2">
        <w:rPr>
          <w:rFonts w:ascii="Times New Roman" w:hAnsi="Times New Roman" w:cs="Times New Roman"/>
          <w:i/>
          <w:iCs/>
          <w:sz w:val="24"/>
          <w:szCs w:val="24"/>
        </w:rPr>
        <w:t>reforms to the</w:t>
      </w:r>
      <w:r w:rsidR="00F87C4E" w:rsidRPr="0016609F">
        <w:rPr>
          <w:rFonts w:ascii="Times New Roman" w:hAnsi="Times New Roman" w:cs="Times New Roman"/>
          <w:i/>
          <w:iCs/>
          <w:sz w:val="24"/>
          <w:szCs w:val="24"/>
        </w:rPr>
        <w:t xml:space="preserve"> doctrinal framework that </w:t>
      </w:r>
      <w:r w:rsidR="007A5198" w:rsidRPr="0016609F">
        <w:rPr>
          <w:rFonts w:ascii="Times New Roman" w:hAnsi="Times New Roman" w:cs="Times New Roman"/>
          <w:i/>
          <w:iCs/>
          <w:sz w:val="24"/>
          <w:szCs w:val="24"/>
        </w:rPr>
        <w:t xml:space="preserve">would </w:t>
      </w:r>
      <w:r w:rsidR="00F87C4E" w:rsidRPr="0016609F">
        <w:rPr>
          <w:rFonts w:ascii="Times New Roman" w:hAnsi="Times New Roman" w:cs="Times New Roman"/>
          <w:i/>
          <w:iCs/>
          <w:sz w:val="24"/>
          <w:szCs w:val="24"/>
        </w:rPr>
        <w:t>enable courts to avoid valuation when the interested parties have endorsed the transaction and its price</w:t>
      </w:r>
      <w:r w:rsidR="00196E59" w:rsidRPr="0016609F">
        <w:rPr>
          <w:rFonts w:ascii="Times New Roman" w:hAnsi="Times New Roman" w:cs="Times New Roman"/>
          <w:i/>
          <w:iCs/>
          <w:sz w:val="24"/>
          <w:szCs w:val="24"/>
        </w:rPr>
        <w:t>. We also</w:t>
      </w:r>
      <w:r w:rsidR="007A5198" w:rsidRPr="0016609F">
        <w:rPr>
          <w:rFonts w:ascii="Times New Roman" w:hAnsi="Times New Roman" w:cs="Times New Roman"/>
          <w:i/>
          <w:iCs/>
          <w:sz w:val="24"/>
          <w:szCs w:val="24"/>
        </w:rPr>
        <w:t xml:space="preserve"> </w:t>
      </w:r>
      <w:r w:rsidR="00196E59" w:rsidRPr="0016609F">
        <w:rPr>
          <w:rFonts w:ascii="Times New Roman" w:hAnsi="Times New Roman" w:cs="Times New Roman"/>
          <w:i/>
          <w:iCs/>
          <w:sz w:val="24"/>
          <w:szCs w:val="24"/>
        </w:rPr>
        <w:t>offer</w:t>
      </w:r>
      <w:r w:rsidR="00F87C4E" w:rsidRPr="0016609F">
        <w:rPr>
          <w:rFonts w:ascii="Times New Roman" w:hAnsi="Times New Roman" w:cs="Times New Roman"/>
          <w:i/>
          <w:iCs/>
          <w:sz w:val="24"/>
          <w:szCs w:val="24"/>
        </w:rPr>
        <w:t xml:space="preserve"> guidance for </w:t>
      </w:r>
      <w:r w:rsidR="00F73FC8" w:rsidRPr="0016609F">
        <w:rPr>
          <w:rFonts w:ascii="Times New Roman" w:hAnsi="Times New Roman" w:cs="Times New Roman"/>
          <w:i/>
          <w:iCs/>
          <w:sz w:val="24"/>
          <w:szCs w:val="24"/>
        </w:rPr>
        <w:t>judicial review of c</w:t>
      </w:r>
      <w:r w:rsidR="00433087">
        <w:rPr>
          <w:rFonts w:ascii="Times New Roman" w:hAnsi="Times New Roman" w:cs="Times New Roman"/>
          <w:i/>
          <w:iCs/>
          <w:sz w:val="24"/>
          <w:szCs w:val="24"/>
        </w:rPr>
        <w:t>ontroller self-dealing</w:t>
      </w:r>
      <w:r w:rsidR="00F73FC8" w:rsidRPr="0016609F">
        <w:rPr>
          <w:rFonts w:ascii="Times New Roman" w:hAnsi="Times New Roman" w:cs="Times New Roman"/>
          <w:i/>
          <w:iCs/>
          <w:sz w:val="24"/>
          <w:szCs w:val="24"/>
        </w:rPr>
        <w:t xml:space="preserve"> transactions where necessary</w:t>
      </w:r>
      <w:r w:rsidR="00196E59" w:rsidRPr="0016609F">
        <w:rPr>
          <w:rFonts w:ascii="Times New Roman" w:hAnsi="Times New Roman" w:cs="Times New Roman"/>
          <w:i/>
          <w:iCs/>
          <w:sz w:val="24"/>
          <w:szCs w:val="24"/>
        </w:rPr>
        <w:t xml:space="preserve"> that respects the competency of courts</w:t>
      </w:r>
      <w:r w:rsidR="00F87C4E" w:rsidRPr="0016609F">
        <w:rPr>
          <w:rFonts w:ascii="Times New Roman" w:hAnsi="Times New Roman" w:cs="Times New Roman"/>
          <w:i/>
          <w:iCs/>
          <w:sz w:val="24"/>
          <w:szCs w:val="24"/>
        </w:rPr>
        <w:t>.</w:t>
      </w:r>
      <w:r w:rsidR="00F1165A" w:rsidRPr="0016609F">
        <w:rPr>
          <w:rFonts w:ascii="Times New Roman" w:hAnsi="Times New Roman" w:cs="Times New Roman"/>
          <w:i/>
          <w:iCs/>
          <w:sz w:val="24"/>
          <w:szCs w:val="24"/>
        </w:rPr>
        <w:t xml:space="preserve"> Our </w:t>
      </w:r>
      <w:r w:rsidR="00DB54F2">
        <w:rPr>
          <w:rFonts w:ascii="Times New Roman" w:hAnsi="Times New Roman" w:cs="Times New Roman"/>
          <w:i/>
          <w:iCs/>
          <w:sz w:val="24"/>
          <w:szCs w:val="24"/>
        </w:rPr>
        <w:t xml:space="preserve">modified </w:t>
      </w:r>
      <w:r w:rsidR="00F1165A" w:rsidRPr="0016609F">
        <w:rPr>
          <w:rFonts w:ascii="Times New Roman" w:hAnsi="Times New Roman" w:cs="Times New Roman"/>
          <w:i/>
          <w:iCs/>
          <w:sz w:val="24"/>
          <w:szCs w:val="24"/>
        </w:rPr>
        <w:t xml:space="preserve">framework represents </w:t>
      </w:r>
      <w:r w:rsidR="007A5198" w:rsidRPr="0016609F">
        <w:rPr>
          <w:rFonts w:ascii="Times New Roman" w:hAnsi="Times New Roman" w:cs="Times New Roman"/>
          <w:i/>
          <w:iCs/>
          <w:sz w:val="24"/>
          <w:szCs w:val="24"/>
        </w:rPr>
        <w:t>an important</w:t>
      </w:r>
      <w:r w:rsidR="00F1165A" w:rsidRPr="0016609F">
        <w:rPr>
          <w:rFonts w:ascii="Times New Roman" w:hAnsi="Times New Roman" w:cs="Times New Roman"/>
          <w:i/>
          <w:iCs/>
          <w:sz w:val="24"/>
          <w:szCs w:val="24"/>
        </w:rPr>
        <w:t xml:space="preserve"> advancement in the legal treatment of controlling shareholder transactions. It </w:t>
      </w:r>
      <w:r w:rsidR="007A5198" w:rsidRPr="0016609F">
        <w:rPr>
          <w:rFonts w:ascii="Times New Roman" w:hAnsi="Times New Roman" w:cs="Times New Roman"/>
          <w:i/>
          <w:iCs/>
          <w:sz w:val="24"/>
          <w:szCs w:val="24"/>
        </w:rPr>
        <w:t xml:space="preserve">would </w:t>
      </w:r>
      <w:r w:rsidR="00F1165A" w:rsidRPr="0016609F">
        <w:rPr>
          <w:rFonts w:ascii="Times New Roman" w:hAnsi="Times New Roman" w:cs="Times New Roman"/>
          <w:i/>
          <w:iCs/>
          <w:sz w:val="24"/>
          <w:szCs w:val="24"/>
        </w:rPr>
        <w:t>safeguard</w:t>
      </w:r>
      <w:r w:rsidR="007A5198" w:rsidRPr="0016609F">
        <w:rPr>
          <w:rFonts w:ascii="Times New Roman" w:hAnsi="Times New Roman" w:cs="Times New Roman"/>
          <w:i/>
          <w:iCs/>
          <w:sz w:val="24"/>
          <w:szCs w:val="24"/>
        </w:rPr>
        <w:t xml:space="preserve"> minority shareholders</w:t>
      </w:r>
      <w:r w:rsidR="00F1165A" w:rsidRPr="0016609F">
        <w:rPr>
          <w:rFonts w:ascii="Times New Roman" w:hAnsi="Times New Roman" w:cs="Times New Roman"/>
          <w:i/>
          <w:iCs/>
          <w:sz w:val="24"/>
          <w:szCs w:val="24"/>
        </w:rPr>
        <w:t xml:space="preserve"> </w:t>
      </w:r>
      <w:r w:rsidR="00277DB1" w:rsidRPr="0016609F">
        <w:rPr>
          <w:rFonts w:ascii="Times New Roman" w:hAnsi="Times New Roman" w:cs="Times New Roman"/>
          <w:i/>
          <w:iCs/>
          <w:sz w:val="24"/>
          <w:szCs w:val="24"/>
        </w:rPr>
        <w:t xml:space="preserve">from </w:t>
      </w:r>
      <w:r w:rsidR="00F1165A" w:rsidRPr="0016609F">
        <w:rPr>
          <w:rFonts w:ascii="Times New Roman" w:hAnsi="Times New Roman" w:cs="Times New Roman"/>
          <w:i/>
          <w:iCs/>
          <w:sz w:val="24"/>
          <w:szCs w:val="24"/>
        </w:rPr>
        <w:t xml:space="preserve">expropriation by </w:t>
      </w:r>
      <w:r w:rsidR="007A5198" w:rsidRPr="0016609F">
        <w:rPr>
          <w:rFonts w:ascii="Times New Roman" w:hAnsi="Times New Roman" w:cs="Times New Roman"/>
          <w:i/>
          <w:iCs/>
          <w:sz w:val="24"/>
          <w:szCs w:val="24"/>
        </w:rPr>
        <w:t>controllers</w:t>
      </w:r>
      <w:r w:rsidR="00F1165A" w:rsidRPr="0016609F">
        <w:rPr>
          <w:rFonts w:ascii="Times New Roman" w:hAnsi="Times New Roman" w:cs="Times New Roman"/>
          <w:i/>
          <w:iCs/>
          <w:sz w:val="24"/>
          <w:szCs w:val="24"/>
        </w:rPr>
        <w:t xml:space="preserve"> </w:t>
      </w:r>
      <w:r w:rsidR="007A5198" w:rsidRPr="0016609F">
        <w:rPr>
          <w:rFonts w:ascii="Times New Roman" w:hAnsi="Times New Roman" w:cs="Times New Roman"/>
          <w:i/>
          <w:iCs/>
          <w:sz w:val="24"/>
          <w:szCs w:val="24"/>
        </w:rPr>
        <w:t xml:space="preserve">while </w:t>
      </w:r>
      <w:r w:rsidR="00F1165A" w:rsidRPr="0016609F">
        <w:rPr>
          <w:rFonts w:ascii="Times New Roman" w:hAnsi="Times New Roman" w:cs="Times New Roman"/>
          <w:i/>
          <w:iCs/>
          <w:sz w:val="24"/>
          <w:szCs w:val="24"/>
        </w:rPr>
        <w:t xml:space="preserve">simultaneously </w:t>
      </w:r>
      <w:r w:rsidR="007A5198" w:rsidRPr="0016609F">
        <w:rPr>
          <w:rFonts w:ascii="Times New Roman" w:hAnsi="Times New Roman" w:cs="Times New Roman"/>
          <w:i/>
          <w:iCs/>
          <w:sz w:val="24"/>
          <w:szCs w:val="24"/>
        </w:rPr>
        <w:t xml:space="preserve">encouraging </w:t>
      </w:r>
      <w:r w:rsidR="00F1165A" w:rsidRPr="0016609F">
        <w:rPr>
          <w:rFonts w:ascii="Times New Roman" w:hAnsi="Times New Roman" w:cs="Times New Roman"/>
          <w:i/>
          <w:iCs/>
          <w:sz w:val="24"/>
          <w:szCs w:val="24"/>
        </w:rPr>
        <w:t>visionary entrepreneurs to engage in value-creating activities, thereby promoting both fairness and innovation in Delaware corporate law.</w:t>
      </w:r>
    </w:p>
    <w:p w14:paraId="5CAAC798" w14:textId="2DB11113" w:rsidR="00482933" w:rsidRPr="002C3CD4" w:rsidRDefault="00BA4304" w:rsidP="00F10F44">
      <w:pPr>
        <w:spacing w:after="0"/>
        <w:ind w:left="720" w:right="720"/>
        <w:rPr>
          <w:rFonts w:ascii="Times New Roman" w:hAnsi="Times New Roman" w:cs="Times New Roman"/>
          <w:b/>
          <w:bCs/>
          <w:sz w:val="24"/>
          <w:szCs w:val="24"/>
        </w:rPr>
      </w:pPr>
      <w:r w:rsidRPr="0016609F">
        <w:rPr>
          <w:rFonts w:ascii="Times New Roman" w:hAnsi="Times New Roman" w:cs="Times New Roman"/>
          <w:i/>
          <w:iCs/>
          <w:sz w:val="24"/>
          <w:szCs w:val="24"/>
        </w:rPr>
        <w:br w:type="page"/>
      </w:r>
      <w:r w:rsidR="00482933" w:rsidRPr="002C3CD4">
        <w:rPr>
          <w:rFonts w:ascii="Times New Roman" w:hAnsi="Times New Roman" w:cs="Times New Roman"/>
          <w:b/>
          <w:bCs/>
          <w:sz w:val="24"/>
          <w:szCs w:val="24"/>
        </w:rPr>
        <w:lastRenderedPageBreak/>
        <w:t>Table of Contents</w:t>
      </w:r>
    </w:p>
    <w:p w14:paraId="1EB80756" w14:textId="77777777" w:rsidR="00482933" w:rsidRPr="002C3CD4" w:rsidRDefault="00482933" w:rsidP="00B54C7C">
      <w:pPr>
        <w:spacing w:after="0"/>
        <w:ind w:firstLine="720"/>
        <w:jc w:val="both"/>
        <w:rPr>
          <w:rFonts w:ascii="Times New Roman" w:hAnsi="Times New Roman" w:cs="Times New Roman"/>
          <w:sz w:val="24"/>
          <w:szCs w:val="24"/>
        </w:rPr>
      </w:pPr>
    </w:p>
    <w:p w14:paraId="40867051" w14:textId="4C107B48" w:rsidR="00BD524F" w:rsidRPr="002C3CD4" w:rsidRDefault="00482933" w:rsidP="00B26031">
      <w:pPr>
        <w:pStyle w:val="TOC1"/>
        <w:spacing w:after="0" w:line="360" w:lineRule="auto"/>
        <w:rPr>
          <w:rFonts w:ascii="Times New Roman" w:hAnsi="Times New Roman" w:cs="Times New Roman"/>
          <w:kern w:val="2"/>
          <w:sz w:val="24"/>
          <w:szCs w:val="24"/>
          <w14:ligatures w14:val="standardContextual"/>
        </w:rPr>
      </w:pPr>
      <w:r w:rsidRPr="002C3CD4">
        <w:rPr>
          <w:rFonts w:ascii="Times New Roman" w:eastAsiaTheme="minorHAnsi" w:hAnsi="Times New Roman" w:cs="Times New Roman"/>
          <w:kern w:val="2"/>
          <w:sz w:val="24"/>
          <w:szCs w:val="24"/>
          <w14:ligatures w14:val="standardContextual"/>
        </w:rPr>
        <w:fldChar w:fldCharType="begin"/>
      </w:r>
      <w:r w:rsidRPr="002C3CD4">
        <w:rPr>
          <w:rFonts w:ascii="Times New Roman" w:hAnsi="Times New Roman" w:cs="Times New Roman"/>
          <w:sz w:val="24"/>
          <w:szCs w:val="24"/>
        </w:rPr>
        <w:instrText xml:space="preserve"> TOC \o "1-3" \h \z \u </w:instrText>
      </w:r>
      <w:r w:rsidRPr="002C3CD4">
        <w:rPr>
          <w:rFonts w:ascii="Times New Roman" w:eastAsiaTheme="minorHAnsi" w:hAnsi="Times New Roman" w:cs="Times New Roman"/>
          <w:kern w:val="2"/>
          <w:sz w:val="24"/>
          <w:szCs w:val="24"/>
          <w14:ligatures w14:val="standardContextual"/>
        </w:rPr>
        <w:fldChar w:fldCharType="separate"/>
      </w:r>
      <w:hyperlink w:anchor="_Toc181789832" w:history="1">
        <w:r w:rsidR="00BD524F" w:rsidRPr="002C3CD4">
          <w:rPr>
            <w:rStyle w:val="Hyperlink"/>
            <w:rFonts w:ascii="Times New Roman" w:hAnsi="Times New Roman" w:cs="Times New Roman"/>
            <w:sz w:val="24"/>
            <w:szCs w:val="24"/>
          </w:rPr>
          <w:t>I.</w:t>
        </w:r>
        <w:r w:rsidR="00BD524F" w:rsidRPr="002C3CD4">
          <w:rPr>
            <w:rFonts w:ascii="Times New Roman" w:hAnsi="Times New Roman" w:cs="Times New Roman"/>
            <w:kern w:val="2"/>
            <w:sz w:val="24"/>
            <w:szCs w:val="24"/>
            <w14:ligatures w14:val="standardContextual"/>
          </w:rPr>
          <w:tab/>
        </w:r>
        <w:r w:rsidR="00BD524F" w:rsidRPr="002C3CD4">
          <w:rPr>
            <w:rStyle w:val="Hyperlink"/>
            <w:rFonts w:ascii="Times New Roman" w:hAnsi="Times New Roman" w:cs="Times New Roman"/>
            <w:sz w:val="24"/>
            <w:szCs w:val="24"/>
          </w:rPr>
          <w:t>Introduction</w:t>
        </w:r>
        <w:r w:rsidR="00BD524F" w:rsidRPr="002C3CD4">
          <w:rPr>
            <w:rFonts w:ascii="Times New Roman" w:hAnsi="Times New Roman" w:cs="Times New Roman"/>
            <w:webHidden/>
            <w:sz w:val="24"/>
            <w:szCs w:val="24"/>
          </w:rPr>
          <w:tab/>
        </w:r>
        <w:r w:rsidR="00BD524F" w:rsidRPr="002C3CD4">
          <w:rPr>
            <w:rFonts w:ascii="Times New Roman" w:hAnsi="Times New Roman" w:cs="Times New Roman"/>
            <w:webHidden/>
            <w:sz w:val="24"/>
            <w:szCs w:val="24"/>
          </w:rPr>
          <w:fldChar w:fldCharType="begin"/>
        </w:r>
        <w:r w:rsidR="00BD524F" w:rsidRPr="002C3CD4">
          <w:rPr>
            <w:rFonts w:ascii="Times New Roman" w:hAnsi="Times New Roman" w:cs="Times New Roman"/>
            <w:webHidden/>
            <w:sz w:val="24"/>
            <w:szCs w:val="24"/>
          </w:rPr>
          <w:instrText xml:space="preserve"> PAGEREF _Toc181789832 \h </w:instrText>
        </w:r>
        <w:r w:rsidR="00BD524F" w:rsidRPr="002C3CD4">
          <w:rPr>
            <w:rFonts w:ascii="Times New Roman" w:hAnsi="Times New Roman" w:cs="Times New Roman"/>
            <w:webHidden/>
            <w:sz w:val="24"/>
            <w:szCs w:val="24"/>
          </w:rPr>
        </w:r>
        <w:r w:rsidR="00BD524F" w:rsidRPr="002C3CD4">
          <w:rPr>
            <w:rFonts w:ascii="Times New Roman" w:hAnsi="Times New Roman" w:cs="Times New Roman"/>
            <w:webHidden/>
            <w:sz w:val="24"/>
            <w:szCs w:val="24"/>
          </w:rPr>
          <w:fldChar w:fldCharType="separate"/>
        </w:r>
        <w:r w:rsidR="0083714B">
          <w:rPr>
            <w:rFonts w:ascii="Times New Roman" w:hAnsi="Times New Roman" w:cs="Times New Roman"/>
            <w:webHidden/>
            <w:sz w:val="24"/>
            <w:szCs w:val="24"/>
          </w:rPr>
          <w:t>1</w:t>
        </w:r>
        <w:r w:rsidR="00BD524F" w:rsidRPr="002C3CD4">
          <w:rPr>
            <w:rFonts w:ascii="Times New Roman" w:hAnsi="Times New Roman" w:cs="Times New Roman"/>
            <w:webHidden/>
            <w:sz w:val="24"/>
            <w:szCs w:val="24"/>
          </w:rPr>
          <w:fldChar w:fldCharType="end"/>
        </w:r>
      </w:hyperlink>
    </w:p>
    <w:p w14:paraId="008FB01E" w14:textId="035E78E5" w:rsidR="00BD524F" w:rsidRPr="002C3CD4" w:rsidRDefault="00BD524F" w:rsidP="00B26031">
      <w:pPr>
        <w:pStyle w:val="TOC1"/>
        <w:spacing w:after="0" w:line="360" w:lineRule="auto"/>
        <w:rPr>
          <w:rFonts w:ascii="Times New Roman" w:hAnsi="Times New Roman" w:cs="Times New Roman"/>
          <w:kern w:val="2"/>
          <w:sz w:val="24"/>
          <w:szCs w:val="24"/>
          <w14:ligatures w14:val="standardContextual"/>
        </w:rPr>
      </w:pPr>
      <w:hyperlink w:anchor="_Toc181789833" w:history="1">
        <w:r w:rsidRPr="002C3CD4">
          <w:rPr>
            <w:rStyle w:val="Hyperlink"/>
            <w:rFonts w:ascii="Times New Roman" w:hAnsi="Times New Roman" w:cs="Times New Roman"/>
            <w:sz w:val="24"/>
            <w:szCs w:val="24"/>
          </w:rPr>
          <w:t>II.</w:t>
        </w:r>
        <w:r w:rsidRPr="002C3CD4">
          <w:rPr>
            <w:rFonts w:ascii="Times New Roman" w:hAnsi="Times New Roman" w:cs="Times New Roman"/>
            <w:kern w:val="2"/>
            <w:sz w:val="24"/>
            <w:szCs w:val="24"/>
            <w14:ligatures w14:val="standardContextual"/>
          </w:rPr>
          <w:tab/>
        </w:r>
        <w:r w:rsidRPr="002C3CD4">
          <w:rPr>
            <w:rStyle w:val="Hyperlink"/>
            <w:rFonts w:ascii="Times New Roman" w:hAnsi="Times New Roman" w:cs="Times New Roman"/>
            <w:sz w:val="24"/>
            <w:szCs w:val="24"/>
          </w:rPr>
          <w:t>Existing Regulation of Conflicted Controller Transactions</w:t>
        </w:r>
        <w:r w:rsidRPr="002C3CD4">
          <w:rPr>
            <w:rFonts w:ascii="Times New Roman" w:hAnsi="Times New Roman" w:cs="Times New Roman"/>
            <w:webHidden/>
            <w:sz w:val="24"/>
            <w:szCs w:val="24"/>
          </w:rPr>
          <w:tab/>
        </w:r>
        <w:r w:rsidRPr="002C3CD4">
          <w:rPr>
            <w:rFonts w:ascii="Times New Roman" w:hAnsi="Times New Roman" w:cs="Times New Roman"/>
            <w:webHidden/>
            <w:sz w:val="24"/>
            <w:szCs w:val="24"/>
          </w:rPr>
          <w:fldChar w:fldCharType="begin"/>
        </w:r>
        <w:r w:rsidRPr="002C3CD4">
          <w:rPr>
            <w:rFonts w:ascii="Times New Roman" w:hAnsi="Times New Roman" w:cs="Times New Roman"/>
            <w:webHidden/>
            <w:sz w:val="24"/>
            <w:szCs w:val="24"/>
          </w:rPr>
          <w:instrText xml:space="preserve"> PAGEREF _Toc181789833 \h </w:instrText>
        </w:r>
        <w:r w:rsidRPr="002C3CD4">
          <w:rPr>
            <w:rFonts w:ascii="Times New Roman" w:hAnsi="Times New Roman" w:cs="Times New Roman"/>
            <w:webHidden/>
            <w:sz w:val="24"/>
            <w:szCs w:val="24"/>
          </w:rPr>
        </w:r>
        <w:r w:rsidRPr="002C3CD4">
          <w:rPr>
            <w:rFonts w:ascii="Times New Roman" w:hAnsi="Times New Roman" w:cs="Times New Roman"/>
            <w:webHidden/>
            <w:sz w:val="24"/>
            <w:szCs w:val="24"/>
          </w:rPr>
          <w:fldChar w:fldCharType="separate"/>
        </w:r>
        <w:r w:rsidR="0083714B">
          <w:rPr>
            <w:rFonts w:ascii="Times New Roman" w:hAnsi="Times New Roman" w:cs="Times New Roman"/>
            <w:webHidden/>
            <w:sz w:val="24"/>
            <w:szCs w:val="24"/>
          </w:rPr>
          <w:t>12</w:t>
        </w:r>
        <w:r w:rsidRPr="002C3CD4">
          <w:rPr>
            <w:rFonts w:ascii="Times New Roman" w:hAnsi="Times New Roman" w:cs="Times New Roman"/>
            <w:webHidden/>
            <w:sz w:val="24"/>
            <w:szCs w:val="24"/>
          </w:rPr>
          <w:fldChar w:fldCharType="end"/>
        </w:r>
      </w:hyperlink>
    </w:p>
    <w:p w14:paraId="23641676" w14:textId="0D126314" w:rsidR="00BD524F" w:rsidRPr="002C3CD4" w:rsidRDefault="00BD524F" w:rsidP="00B26031">
      <w:pPr>
        <w:pStyle w:val="TOC2"/>
        <w:tabs>
          <w:tab w:val="right" w:leader="dot" w:pos="9350"/>
        </w:tabs>
        <w:spacing w:after="0" w:line="360" w:lineRule="auto"/>
        <w:rPr>
          <w:rFonts w:ascii="Times New Roman" w:hAnsi="Times New Roman"/>
          <w:noProof/>
          <w:kern w:val="2"/>
          <w:sz w:val="24"/>
          <w:szCs w:val="24"/>
          <w14:ligatures w14:val="standardContextual"/>
        </w:rPr>
      </w:pPr>
      <w:hyperlink w:anchor="_Toc181789834" w:history="1">
        <w:r w:rsidRPr="002C3CD4">
          <w:rPr>
            <w:rStyle w:val="Hyperlink"/>
            <w:rFonts w:ascii="Times New Roman" w:hAnsi="Times New Roman"/>
            <w:noProof/>
            <w:sz w:val="24"/>
            <w:szCs w:val="24"/>
          </w:rPr>
          <w:t>A. Entire Fairness Review and Valuation</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_Toc181789834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12</w:t>
        </w:r>
        <w:r w:rsidRPr="002C3CD4">
          <w:rPr>
            <w:rFonts w:ascii="Times New Roman" w:hAnsi="Times New Roman"/>
            <w:noProof/>
            <w:webHidden/>
            <w:sz w:val="24"/>
            <w:szCs w:val="24"/>
          </w:rPr>
          <w:fldChar w:fldCharType="end"/>
        </w:r>
      </w:hyperlink>
    </w:p>
    <w:p w14:paraId="51BE831C" w14:textId="7F73E4B1" w:rsidR="00BD524F" w:rsidRPr="002C3CD4" w:rsidRDefault="00BD524F" w:rsidP="00B26031">
      <w:pPr>
        <w:pStyle w:val="TOC2"/>
        <w:tabs>
          <w:tab w:val="right" w:leader="dot" w:pos="9350"/>
        </w:tabs>
        <w:spacing w:after="0" w:line="360" w:lineRule="auto"/>
        <w:rPr>
          <w:rFonts w:ascii="Times New Roman" w:hAnsi="Times New Roman"/>
          <w:noProof/>
          <w:kern w:val="2"/>
          <w:sz w:val="24"/>
          <w:szCs w:val="24"/>
          <w14:ligatures w14:val="standardContextual"/>
        </w:rPr>
      </w:pPr>
      <w:hyperlink w:anchor="_Toc181789835" w:history="1">
        <w:r w:rsidRPr="002C3CD4">
          <w:rPr>
            <w:rStyle w:val="Hyperlink"/>
            <w:rFonts w:ascii="Times New Roman" w:hAnsi="Times New Roman"/>
            <w:noProof/>
            <w:sz w:val="24"/>
            <w:szCs w:val="24"/>
          </w:rPr>
          <w:t>B. Cleansing under MFW</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_Toc181789835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16</w:t>
        </w:r>
        <w:r w:rsidRPr="002C3CD4">
          <w:rPr>
            <w:rFonts w:ascii="Times New Roman" w:hAnsi="Times New Roman"/>
            <w:noProof/>
            <w:webHidden/>
            <w:sz w:val="24"/>
            <w:szCs w:val="24"/>
          </w:rPr>
          <w:fldChar w:fldCharType="end"/>
        </w:r>
      </w:hyperlink>
    </w:p>
    <w:p w14:paraId="14B8B123" w14:textId="721969F5" w:rsidR="00BD524F" w:rsidRPr="002C3CD4" w:rsidRDefault="00BD524F" w:rsidP="00B26031">
      <w:pPr>
        <w:pStyle w:val="TOC1"/>
        <w:spacing w:after="0" w:line="360" w:lineRule="auto"/>
        <w:rPr>
          <w:rFonts w:ascii="Times New Roman" w:hAnsi="Times New Roman" w:cs="Times New Roman"/>
          <w:kern w:val="2"/>
          <w:sz w:val="24"/>
          <w:szCs w:val="24"/>
          <w14:ligatures w14:val="standardContextual"/>
        </w:rPr>
      </w:pPr>
      <w:hyperlink w:anchor="_Toc181789836" w:history="1">
        <w:r w:rsidRPr="002C3CD4">
          <w:rPr>
            <w:rStyle w:val="Hyperlink"/>
            <w:rFonts w:ascii="Times New Roman" w:hAnsi="Times New Roman" w:cs="Times New Roman"/>
            <w:sz w:val="24"/>
            <w:szCs w:val="24"/>
          </w:rPr>
          <w:t>III.</w:t>
        </w:r>
        <w:r w:rsidRPr="002C3CD4">
          <w:rPr>
            <w:rFonts w:ascii="Times New Roman" w:hAnsi="Times New Roman" w:cs="Times New Roman"/>
            <w:kern w:val="2"/>
            <w:sz w:val="24"/>
            <w:szCs w:val="24"/>
            <w14:ligatures w14:val="standardContextual"/>
          </w:rPr>
          <w:tab/>
        </w:r>
        <w:r w:rsidRPr="002C3CD4">
          <w:rPr>
            <w:rStyle w:val="Hyperlink"/>
            <w:rFonts w:ascii="Times New Roman" w:hAnsi="Times New Roman" w:cs="Times New Roman"/>
            <w:sz w:val="24"/>
            <w:szCs w:val="24"/>
          </w:rPr>
          <w:t>The Impossibility of Valuing Idiosyncratic Vision</w:t>
        </w:r>
        <w:r w:rsidRPr="002C3CD4">
          <w:rPr>
            <w:rFonts w:ascii="Times New Roman" w:hAnsi="Times New Roman" w:cs="Times New Roman"/>
            <w:webHidden/>
            <w:sz w:val="24"/>
            <w:szCs w:val="24"/>
          </w:rPr>
          <w:tab/>
        </w:r>
        <w:r w:rsidRPr="002C3CD4">
          <w:rPr>
            <w:rFonts w:ascii="Times New Roman" w:hAnsi="Times New Roman" w:cs="Times New Roman"/>
            <w:webHidden/>
            <w:sz w:val="24"/>
            <w:szCs w:val="24"/>
          </w:rPr>
          <w:fldChar w:fldCharType="begin"/>
        </w:r>
        <w:r w:rsidRPr="002C3CD4">
          <w:rPr>
            <w:rFonts w:ascii="Times New Roman" w:hAnsi="Times New Roman" w:cs="Times New Roman"/>
            <w:webHidden/>
            <w:sz w:val="24"/>
            <w:szCs w:val="24"/>
          </w:rPr>
          <w:instrText xml:space="preserve"> PAGEREF _Toc181789836 \h </w:instrText>
        </w:r>
        <w:r w:rsidRPr="002C3CD4">
          <w:rPr>
            <w:rFonts w:ascii="Times New Roman" w:hAnsi="Times New Roman" w:cs="Times New Roman"/>
            <w:webHidden/>
            <w:sz w:val="24"/>
            <w:szCs w:val="24"/>
          </w:rPr>
        </w:r>
        <w:r w:rsidRPr="002C3CD4">
          <w:rPr>
            <w:rFonts w:ascii="Times New Roman" w:hAnsi="Times New Roman" w:cs="Times New Roman"/>
            <w:webHidden/>
            <w:sz w:val="24"/>
            <w:szCs w:val="24"/>
          </w:rPr>
          <w:fldChar w:fldCharType="separate"/>
        </w:r>
        <w:r w:rsidR="0083714B">
          <w:rPr>
            <w:rFonts w:ascii="Times New Roman" w:hAnsi="Times New Roman" w:cs="Times New Roman"/>
            <w:webHidden/>
            <w:sz w:val="24"/>
            <w:szCs w:val="24"/>
          </w:rPr>
          <w:t>20</w:t>
        </w:r>
        <w:r w:rsidRPr="002C3CD4">
          <w:rPr>
            <w:rFonts w:ascii="Times New Roman" w:hAnsi="Times New Roman" w:cs="Times New Roman"/>
            <w:webHidden/>
            <w:sz w:val="24"/>
            <w:szCs w:val="24"/>
          </w:rPr>
          <w:fldChar w:fldCharType="end"/>
        </w:r>
      </w:hyperlink>
    </w:p>
    <w:p w14:paraId="0C70536D" w14:textId="4F899B00" w:rsidR="00BD524F" w:rsidRPr="002C3CD4" w:rsidRDefault="00BD524F" w:rsidP="00B26031">
      <w:pPr>
        <w:pStyle w:val="TOC2"/>
        <w:tabs>
          <w:tab w:val="left" w:pos="720"/>
          <w:tab w:val="right" w:leader="dot" w:pos="9350"/>
        </w:tabs>
        <w:spacing w:after="0" w:line="360" w:lineRule="auto"/>
        <w:rPr>
          <w:rFonts w:ascii="Times New Roman" w:hAnsi="Times New Roman"/>
          <w:noProof/>
          <w:kern w:val="2"/>
          <w:sz w:val="24"/>
          <w:szCs w:val="24"/>
          <w14:ligatures w14:val="standardContextual"/>
        </w:rPr>
      </w:pPr>
      <w:hyperlink w:anchor="_Toc181789837" w:history="1">
        <w:r w:rsidRPr="002C3CD4">
          <w:rPr>
            <w:rStyle w:val="Hyperlink"/>
            <w:rFonts w:ascii="Times New Roman" w:hAnsi="Times New Roman"/>
            <w:noProof/>
            <w:sz w:val="24"/>
            <w:szCs w:val="24"/>
          </w:rPr>
          <w:t>A.</w:t>
        </w:r>
        <w:r w:rsidRPr="002C3CD4">
          <w:rPr>
            <w:rFonts w:ascii="Times New Roman" w:hAnsi="Times New Roman"/>
            <w:noProof/>
            <w:kern w:val="2"/>
            <w:sz w:val="24"/>
            <w:szCs w:val="24"/>
            <w14:ligatures w14:val="standardContextual"/>
          </w:rPr>
          <w:tab/>
        </w:r>
        <w:r w:rsidRPr="002C3CD4">
          <w:rPr>
            <w:rStyle w:val="Hyperlink"/>
            <w:rFonts w:ascii="Times New Roman" w:hAnsi="Times New Roman"/>
            <w:noProof/>
            <w:sz w:val="24"/>
            <w:szCs w:val="24"/>
          </w:rPr>
          <w:t>Valuing an Entrepreneur’s Idiosyncratic Vision</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_Toc181789837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21</w:t>
        </w:r>
        <w:r w:rsidRPr="002C3CD4">
          <w:rPr>
            <w:rFonts w:ascii="Times New Roman" w:hAnsi="Times New Roman"/>
            <w:noProof/>
            <w:webHidden/>
            <w:sz w:val="24"/>
            <w:szCs w:val="24"/>
          </w:rPr>
          <w:fldChar w:fldCharType="end"/>
        </w:r>
      </w:hyperlink>
    </w:p>
    <w:p w14:paraId="4C3D298E" w14:textId="33266217" w:rsidR="00BD524F" w:rsidRPr="002C3CD4" w:rsidRDefault="00BD524F" w:rsidP="00B26031">
      <w:pPr>
        <w:pStyle w:val="TOC3"/>
        <w:tabs>
          <w:tab w:val="left" w:pos="960"/>
          <w:tab w:val="right" w:leader="dot" w:pos="9350"/>
        </w:tabs>
        <w:spacing w:after="0" w:line="360" w:lineRule="auto"/>
        <w:rPr>
          <w:rFonts w:ascii="Times New Roman" w:hAnsi="Times New Roman"/>
          <w:noProof/>
          <w:kern w:val="2"/>
          <w:sz w:val="24"/>
          <w:szCs w:val="24"/>
          <w14:ligatures w14:val="standardContextual"/>
        </w:rPr>
      </w:pPr>
      <w:hyperlink w:anchor="_Toc181789838" w:history="1">
        <w:r w:rsidRPr="002C3CD4">
          <w:rPr>
            <w:rStyle w:val="Hyperlink"/>
            <w:rFonts w:ascii="Times New Roman" w:hAnsi="Times New Roman"/>
            <w:noProof/>
            <w:sz w:val="24"/>
            <w:szCs w:val="24"/>
          </w:rPr>
          <w:t>i.</w:t>
        </w:r>
        <w:r w:rsidRPr="002C3CD4">
          <w:rPr>
            <w:rFonts w:ascii="Times New Roman" w:hAnsi="Times New Roman"/>
            <w:noProof/>
            <w:kern w:val="2"/>
            <w:sz w:val="24"/>
            <w:szCs w:val="24"/>
            <w14:ligatures w14:val="standardContextual"/>
          </w:rPr>
          <w:tab/>
        </w:r>
        <w:r w:rsidRPr="002C3CD4">
          <w:rPr>
            <w:rStyle w:val="Hyperlink"/>
            <w:rFonts w:ascii="Times New Roman" w:hAnsi="Times New Roman"/>
            <w:noProof/>
            <w:sz w:val="24"/>
            <w:szCs w:val="24"/>
          </w:rPr>
          <w:t>Idiosyncratic Vision</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_Toc181789838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21</w:t>
        </w:r>
        <w:r w:rsidRPr="002C3CD4">
          <w:rPr>
            <w:rFonts w:ascii="Times New Roman" w:hAnsi="Times New Roman"/>
            <w:noProof/>
            <w:webHidden/>
            <w:sz w:val="24"/>
            <w:szCs w:val="24"/>
          </w:rPr>
          <w:fldChar w:fldCharType="end"/>
        </w:r>
      </w:hyperlink>
    </w:p>
    <w:p w14:paraId="617005D3" w14:textId="726CA4FD" w:rsidR="00BD524F" w:rsidRPr="002C3CD4" w:rsidRDefault="00BD524F" w:rsidP="00B26031">
      <w:pPr>
        <w:pStyle w:val="TOC3"/>
        <w:tabs>
          <w:tab w:val="left" w:pos="960"/>
          <w:tab w:val="right" w:leader="dot" w:pos="9350"/>
        </w:tabs>
        <w:spacing w:after="0" w:line="360" w:lineRule="auto"/>
        <w:rPr>
          <w:rFonts w:ascii="Times New Roman" w:hAnsi="Times New Roman"/>
          <w:noProof/>
          <w:kern w:val="2"/>
          <w:sz w:val="24"/>
          <w:szCs w:val="24"/>
          <w14:ligatures w14:val="standardContextual"/>
        </w:rPr>
      </w:pPr>
      <w:hyperlink w:anchor="_Toc181789839" w:history="1">
        <w:r w:rsidRPr="002C3CD4">
          <w:rPr>
            <w:rStyle w:val="Hyperlink"/>
            <w:rFonts w:ascii="Times New Roman" w:hAnsi="Times New Roman"/>
            <w:noProof/>
            <w:sz w:val="24"/>
            <w:szCs w:val="24"/>
          </w:rPr>
          <w:t>ii.</w:t>
        </w:r>
        <w:r w:rsidRPr="002C3CD4">
          <w:rPr>
            <w:rFonts w:ascii="Times New Roman" w:hAnsi="Times New Roman"/>
            <w:noProof/>
            <w:kern w:val="2"/>
            <w:sz w:val="24"/>
            <w:szCs w:val="24"/>
            <w14:ligatures w14:val="standardContextual"/>
          </w:rPr>
          <w:tab/>
        </w:r>
        <w:r w:rsidRPr="002C3CD4">
          <w:rPr>
            <w:rStyle w:val="Hyperlink"/>
            <w:rFonts w:ascii="Times New Roman" w:hAnsi="Times New Roman"/>
            <w:noProof/>
            <w:sz w:val="24"/>
            <w:szCs w:val="24"/>
          </w:rPr>
          <w:t>The Failure of Acceptable Valuation Methods</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_Toc181789839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24</w:t>
        </w:r>
        <w:r w:rsidRPr="002C3CD4">
          <w:rPr>
            <w:rFonts w:ascii="Times New Roman" w:hAnsi="Times New Roman"/>
            <w:noProof/>
            <w:webHidden/>
            <w:sz w:val="24"/>
            <w:szCs w:val="24"/>
          </w:rPr>
          <w:fldChar w:fldCharType="end"/>
        </w:r>
      </w:hyperlink>
    </w:p>
    <w:p w14:paraId="219C564E" w14:textId="428BF1C4" w:rsidR="00BD524F" w:rsidRPr="00884ACB" w:rsidRDefault="00BD524F" w:rsidP="00B26031">
      <w:pPr>
        <w:pStyle w:val="TOC2"/>
        <w:tabs>
          <w:tab w:val="right" w:leader="dot" w:pos="9350"/>
        </w:tabs>
        <w:spacing w:after="0" w:line="360" w:lineRule="auto"/>
        <w:rPr>
          <w:rFonts w:ascii="Times New Roman" w:hAnsi="Times New Roman"/>
          <w:noProof/>
          <w:kern w:val="2"/>
          <w:sz w:val="24"/>
          <w:szCs w:val="24"/>
          <w:u w:val="single"/>
          <w14:ligatures w14:val="standardContextual"/>
        </w:rPr>
      </w:pPr>
      <w:hyperlink w:anchor="_Toc181789840" w:history="1">
        <w:r w:rsidRPr="002C3CD4">
          <w:rPr>
            <w:rStyle w:val="Hyperlink"/>
            <w:rFonts w:ascii="Times New Roman" w:hAnsi="Times New Roman"/>
            <w:noProof/>
            <w:sz w:val="24"/>
            <w:szCs w:val="24"/>
          </w:rPr>
          <w:t>B. Judicial Valuation as Part of Entire Fairness Review</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_Toc181789840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27</w:t>
        </w:r>
        <w:r w:rsidRPr="002C3CD4">
          <w:rPr>
            <w:rFonts w:ascii="Times New Roman" w:hAnsi="Times New Roman"/>
            <w:noProof/>
            <w:webHidden/>
            <w:sz w:val="24"/>
            <w:szCs w:val="24"/>
          </w:rPr>
          <w:fldChar w:fldCharType="end"/>
        </w:r>
      </w:hyperlink>
    </w:p>
    <w:p w14:paraId="05A7C256" w14:textId="15209585" w:rsidR="00BD524F" w:rsidRPr="002C3CD4" w:rsidRDefault="00BD524F" w:rsidP="00B26031">
      <w:pPr>
        <w:pStyle w:val="TOC3"/>
        <w:tabs>
          <w:tab w:val="left" w:pos="960"/>
          <w:tab w:val="right" w:leader="dot" w:pos="9350"/>
        </w:tabs>
        <w:spacing w:after="0" w:line="360" w:lineRule="auto"/>
        <w:rPr>
          <w:rFonts w:ascii="Times New Roman" w:hAnsi="Times New Roman"/>
          <w:noProof/>
          <w:kern w:val="2"/>
          <w:sz w:val="24"/>
          <w:szCs w:val="24"/>
          <w14:ligatures w14:val="standardContextual"/>
        </w:rPr>
      </w:pPr>
      <w:hyperlink w:anchor="_Toc181789841" w:history="1">
        <w:r w:rsidRPr="002C3CD4">
          <w:rPr>
            <w:rStyle w:val="Hyperlink"/>
            <w:rFonts w:ascii="Times New Roman" w:hAnsi="Times New Roman"/>
            <w:noProof/>
            <w:sz w:val="24"/>
            <w:szCs w:val="24"/>
          </w:rPr>
          <w:t>i.</w:t>
        </w:r>
        <w:r w:rsidRPr="002C3CD4">
          <w:rPr>
            <w:rFonts w:ascii="Times New Roman" w:hAnsi="Times New Roman"/>
            <w:noProof/>
            <w:kern w:val="2"/>
            <w:sz w:val="24"/>
            <w:szCs w:val="24"/>
            <w14:ligatures w14:val="standardContextual"/>
          </w:rPr>
          <w:tab/>
        </w:r>
        <w:r w:rsidRPr="002C3CD4">
          <w:rPr>
            <w:rStyle w:val="Hyperlink"/>
            <w:rFonts w:ascii="Times New Roman" w:hAnsi="Times New Roman"/>
            <w:noProof/>
            <w:sz w:val="24"/>
            <w:szCs w:val="24"/>
          </w:rPr>
          <w:t>Tornetta v. Musk</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_Toc181789841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28</w:t>
        </w:r>
        <w:r w:rsidRPr="002C3CD4">
          <w:rPr>
            <w:rFonts w:ascii="Times New Roman" w:hAnsi="Times New Roman"/>
            <w:noProof/>
            <w:webHidden/>
            <w:sz w:val="24"/>
            <w:szCs w:val="24"/>
          </w:rPr>
          <w:fldChar w:fldCharType="end"/>
        </w:r>
      </w:hyperlink>
    </w:p>
    <w:p w14:paraId="0FD7021C" w14:textId="4AFD8F39" w:rsidR="00BD524F" w:rsidRPr="002C3CD4" w:rsidRDefault="00BD524F" w:rsidP="00B26031">
      <w:pPr>
        <w:pStyle w:val="TOC3"/>
        <w:tabs>
          <w:tab w:val="left" w:pos="960"/>
          <w:tab w:val="right" w:leader="dot" w:pos="9350"/>
        </w:tabs>
        <w:spacing w:after="0" w:line="360" w:lineRule="auto"/>
        <w:rPr>
          <w:rFonts w:ascii="Times New Roman" w:hAnsi="Times New Roman"/>
          <w:noProof/>
          <w:kern w:val="2"/>
          <w:sz w:val="24"/>
          <w:szCs w:val="24"/>
          <w14:ligatures w14:val="standardContextual"/>
        </w:rPr>
      </w:pPr>
      <w:hyperlink w:anchor="_Toc181789842" w:history="1">
        <w:r w:rsidRPr="002C3CD4">
          <w:rPr>
            <w:rStyle w:val="Hyperlink"/>
            <w:rFonts w:ascii="Times New Roman" w:hAnsi="Times New Roman"/>
            <w:noProof/>
            <w:sz w:val="24"/>
            <w:szCs w:val="24"/>
          </w:rPr>
          <w:t>ii.</w:t>
        </w:r>
        <w:r w:rsidRPr="002C3CD4">
          <w:rPr>
            <w:rFonts w:ascii="Times New Roman" w:hAnsi="Times New Roman"/>
            <w:noProof/>
            <w:kern w:val="2"/>
            <w:sz w:val="24"/>
            <w:szCs w:val="24"/>
            <w14:ligatures w14:val="standardContextual"/>
          </w:rPr>
          <w:tab/>
        </w:r>
        <w:r w:rsidRPr="002C3CD4">
          <w:rPr>
            <w:rStyle w:val="Hyperlink"/>
            <w:rFonts w:ascii="Times New Roman" w:hAnsi="Times New Roman"/>
            <w:noProof/>
            <w:sz w:val="24"/>
            <w:szCs w:val="24"/>
          </w:rPr>
          <w:t>In re Tesla Shareholders Litigation</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_Toc181789842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35</w:t>
        </w:r>
        <w:r w:rsidRPr="002C3CD4">
          <w:rPr>
            <w:rFonts w:ascii="Times New Roman" w:hAnsi="Times New Roman"/>
            <w:noProof/>
            <w:webHidden/>
            <w:sz w:val="24"/>
            <w:szCs w:val="24"/>
          </w:rPr>
          <w:fldChar w:fldCharType="end"/>
        </w:r>
      </w:hyperlink>
    </w:p>
    <w:p w14:paraId="4678ADBC" w14:textId="43A5F287" w:rsidR="00BD524F" w:rsidRPr="002C3CD4" w:rsidRDefault="00BD524F" w:rsidP="00B26031">
      <w:pPr>
        <w:pStyle w:val="TOC1"/>
        <w:spacing w:after="0" w:line="360" w:lineRule="auto"/>
        <w:rPr>
          <w:rFonts w:ascii="Times New Roman" w:hAnsi="Times New Roman" w:cs="Times New Roman"/>
          <w:kern w:val="2"/>
          <w:sz w:val="24"/>
          <w:szCs w:val="24"/>
          <w14:ligatures w14:val="standardContextual"/>
        </w:rPr>
      </w:pPr>
      <w:hyperlink w:anchor="_Toc181789843" w:history="1">
        <w:r w:rsidRPr="002C3CD4">
          <w:rPr>
            <w:rStyle w:val="Hyperlink"/>
            <w:rFonts w:ascii="Times New Roman" w:hAnsi="Times New Roman" w:cs="Times New Roman"/>
            <w:sz w:val="24"/>
            <w:szCs w:val="24"/>
          </w:rPr>
          <w:t>IV.</w:t>
        </w:r>
        <w:r w:rsidRPr="002C3CD4">
          <w:rPr>
            <w:rFonts w:ascii="Times New Roman" w:hAnsi="Times New Roman" w:cs="Times New Roman"/>
            <w:kern w:val="2"/>
            <w:sz w:val="24"/>
            <w:szCs w:val="24"/>
            <w14:ligatures w14:val="standardContextual"/>
          </w:rPr>
          <w:tab/>
        </w:r>
        <w:r w:rsidRPr="002C3CD4">
          <w:rPr>
            <w:rStyle w:val="Hyperlink"/>
            <w:rFonts w:ascii="Times New Roman" w:hAnsi="Times New Roman" w:cs="Times New Roman"/>
            <w:sz w:val="24"/>
            <w:szCs w:val="24"/>
          </w:rPr>
          <w:t>Framework for Judicial Review and Cleansing when Vision is at Stake</w:t>
        </w:r>
        <w:r w:rsidRPr="002C3CD4">
          <w:rPr>
            <w:rFonts w:ascii="Times New Roman" w:hAnsi="Times New Roman" w:cs="Times New Roman"/>
            <w:webHidden/>
            <w:sz w:val="24"/>
            <w:szCs w:val="24"/>
          </w:rPr>
          <w:tab/>
        </w:r>
        <w:r w:rsidRPr="002C3CD4">
          <w:rPr>
            <w:rFonts w:ascii="Times New Roman" w:hAnsi="Times New Roman" w:cs="Times New Roman"/>
            <w:webHidden/>
            <w:sz w:val="24"/>
            <w:szCs w:val="24"/>
          </w:rPr>
          <w:fldChar w:fldCharType="begin"/>
        </w:r>
        <w:r w:rsidRPr="002C3CD4">
          <w:rPr>
            <w:rFonts w:ascii="Times New Roman" w:hAnsi="Times New Roman" w:cs="Times New Roman"/>
            <w:webHidden/>
            <w:sz w:val="24"/>
            <w:szCs w:val="24"/>
          </w:rPr>
          <w:instrText xml:space="preserve"> PAGEREF _Toc181789843 \h </w:instrText>
        </w:r>
        <w:r w:rsidRPr="002C3CD4">
          <w:rPr>
            <w:rFonts w:ascii="Times New Roman" w:hAnsi="Times New Roman" w:cs="Times New Roman"/>
            <w:webHidden/>
            <w:sz w:val="24"/>
            <w:szCs w:val="24"/>
          </w:rPr>
        </w:r>
        <w:r w:rsidRPr="002C3CD4">
          <w:rPr>
            <w:rFonts w:ascii="Times New Roman" w:hAnsi="Times New Roman" w:cs="Times New Roman"/>
            <w:webHidden/>
            <w:sz w:val="24"/>
            <w:szCs w:val="24"/>
          </w:rPr>
          <w:fldChar w:fldCharType="separate"/>
        </w:r>
        <w:r w:rsidR="0083714B">
          <w:rPr>
            <w:rFonts w:ascii="Times New Roman" w:hAnsi="Times New Roman" w:cs="Times New Roman"/>
            <w:webHidden/>
            <w:sz w:val="24"/>
            <w:szCs w:val="24"/>
          </w:rPr>
          <w:t>38</w:t>
        </w:r>
        <w:r w:rsidRPr="002C3CD4">
          <w:rPr>
            <w:rFonts w:ascii="Times New Roman" w:hAnsi="Times New Roman" w:cs="Times New Roman"/>
            <w:webHidden/>
            <w:sz w:val="24"/>
            <w:szCs w:val="24"/>
          </w:rPr>
          <w:fldChar w:fldCharType="end"/>
        </w:r>
      </w:hyperlink>
    </w:p>
    <w:p w14:paraId="1EADDCAA" w14:textId="0D5A90DC" w:rsidR="00BD524F" w:rsidRPr="002C3CD4" w:rsidRDefault="00BD524F" w:rsidP="00B26031">
      <w:pPr>
        <w:pStyle w:val="TOC2"/>
        <w:tabs>
          <w:tab w:val="right" w:leader="dot" w:pos="9350"/>
        </w:tabs>
        <w:spacing w:after="0" w:line="360" w:lineRule="auto"/>
        <w:rPr>
          <w:rFonts w:ascii="Times New Roman" w:hAnsi="Times New Roman"/>
          <w:noProof/>
          <w:kern w:val="2"/>
          <w:sz w:val="24"/>
          <w:szCs w:val="24"/>
          <w14:ligatures w14:val="standardContextual"/>
        </w:rPr>
      </w:pPr>
      <w:hyperlink w:anchor="_Toc181789844" w:history="1">
        <w:r w:rsidRPr="002C3CD4">
          <w:rPr>
            <w:rStyle w:val="Hyperlink"/>
            <w:rFonts w:ascii="Times New Roman" w:hAnsi="Times New Roman"/>
            <w:noProof/>
            <w:sz w:val="24"/>
            <w:szCs w:val="24"/>
          </w:rPr>
          <w:t>A. Adapting the MFW Framework</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_Toc181789844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39</w:t>
        </w:r>
        <w:r w:rsidRPr="002C3CD4">
          <w:rPr>
            <w:rFonts w:ascii="Times New Roman" w:hAnsi="Times New Roman"/>
            <w:noProof/>
            <w:webHidden/>
            <w:sz w:val="24"/>
            <w:szCs w:val="24"/>
          </w:rPr>
          <w:fldChar w:fldCharType="end"/>
        </w:r>
      </w:hyperlink>
    </w:p>
    <w:p w14:paraId="0EF737A8" w14:textId="3380ADA7" w:rsidR="00BD524F" w:rsidRPr="002C3CD4" w:rsidRDefault="00BD524F" w:rsidP="00B26031">
      <w:pPr>
        <w:pStyle w:val="TOC3"/>
        <w:tabs>
          <w:tab w:val="left" w:pos="960"/>
          <w:tab w:val="right" w:leader="dot" w:pos="9350"/>
        </w:tabs>
        <w:spacing w:after="0" w:line="360" w:lineRule="auto"/>
        <w:rPr>
          <w:rFonts w:ascii="Times New Roman" w:hAnsi="Times New Roman"/>
          <w:noProof/>
          <w:kern w:val="2"/>
          <w:sz w:val="24"/>
          <w:szCs w:val="24"/>
          <w14:ligatures w14:val="standardContextual"/>
        </w:rPr>
      </w:pPr>
      <w:hyperlink w:anchor="_Toc181789845" w:history="1">
        <w:r w:rsidRPr="002C3CD4">
          <w:rPr>
            <w:rStyle w:val="Hyperlink"/>
            <w:rFonts w:ascii="Times New Roman" w:hAnsi="Times New Roman"/>
            <w:noProof/>
            <w:sz w:val="24"/>
            <w:szCs w:val="24"/>
          </w:rPr>
          <w:t>i.</w:t>
        </w:r>
        <w:r w:rsidRPr="002C3CD4">
          <w:rPr>
            <w:rFonts w:ascii="Times New Roman" w:hAnsi="Times New Roman"/>
            <w:noProof/>
            <w:kern w:val="2"/>
            <w:sz w:val="24"/>
            <w:szCs w:val="24"/>
            <w14:ligatures w14:val="standardContextual"/>
          </w:rPr>
          <w:tab/>
        </w:r>
        <w:r w:rsidRPr="002C3CD4">
          <w:rPr>
            <w:rStyle w:val="Hyperlink"/>
            <w:rFonts w:ascii="Times New Roman" w:hAnsi="Times New Roman"/>
            <w:noProof/>
            <w:sz w:val="24"/>
            <w:szCs w:val="24"/>
          </w:rPr>
          <w:t>The Majority of Minority Condition Should Not Depend on Special Committee Disclosure</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_Toc181789845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40</w:t>
        </w:r>
        <w:r w:rsidRPr="002C3CD4">
          <w:rPr>
            <w:rFonts w:ascii="Times New Roman" w:hAnsi="Times New Roman"/>
            <w:noProof/>
            <w:webHidden/>
            <w:sz w:val="24"/>
            <w:szCs w:val="24"/>
          </w:rPr>
          <w:fldChar w:fldCharType="end"/>
        </w:r>
      </w:hyperlink>
    </w:p>
    <w:p w14:paraId="3D1EEFF7" w14:textId="270A7753" w:rsidR="00BD524F" w:rsidRPr="002C3CD4" w:rsidRDefault="00BD524F" w:rsidP="00B26031">
      <w:pPr>
        <w:pStyle w:val="TOC3"/>
        <w:tabs>
          <w:tab w:val="left" w:pos="960"/>
          <w:tab w:val="right" w:leader="dot" w:pos="9350"/>
        </w:tabs>
        <w:spacing w:after="0" w:line="360" w:lineRule="auto"/>
        <w:rPr>
          <w:rFonts w:ascii="Times New Roman" w:hAnsi="Times New Roman"/>
          <w:noProof/>
          <w:kern w:val="2"/>
          <w:sz w:val="24"/>
          <w:szCs w:val="24"/>
          <w14:ligatures w14:val="standardContextual"/>
        </w:rPr>
      </w:pPr>
      <w:hyperlink w:anchor="_Toc181789846" w:history="1">
        <w:r w:rsidRPr="002C3CD4">
          <w:rPr>
            <w:rStyle w:val="Hyperlink"/>
            <w:rFonts w:ascii="Times New Roman" w:hAnsi="Times New Roman"/>
            <w:noProof/>
            <w:sz w:val="24"/>
            <w:szCs w:val="24"/>
          </w:rPr>
          <w:t>ii.</w:t>
        </w:r>
        <w:r w:rsidRPr="002C3CD4">
          <w:rPr>
            <w:rFonts w:ascii="Times New Roman" w:hAnsi="Times New Roman"/>
            <w:noProof/>
            <w:kern w:val="2"/>
            <w:sz w:val="24"/>
            <w:szCs w:val="24"/>
            <w14:ligatures w14:val="standardContextual"/>
          </w:rPr>
          <w:tab/>
        </w:r>
        <w:r w:rsidRPr="002C3CD4">
          <w:rPr>
            <w:rStyle w:val="Hyperlink"/>
            <w:rFonts w:ascii="Times New Roman" w:hAnsi="Times New Roman"/>
            <w:noProof/>
            <w:sz w:val="24"/>
            <w:szCs w:val="24"/>
          </w:rPr>
          <w:t xml:space="preserve"> Disclosure About the Special Committee</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_Toc181789846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43</w:t>
        </w:r>
        <w:r w:rsidRPr="002C3CD4">
          <w:rPr>
            <w:rFonts w:ascii="Times New Roman" w:hAnsi="Times New Roman"/>
            <w:noProof/>
            <w:webHidden/>
            <w:sz w:val="24"/>
            <w:szCs w:val="24"/>
          </w:rPr>
          <w:fldChar w:fldCharType="end"/>
        </w:r>
      </w:hyperlink>
    </w:p>
    <w:p w14:paraId="66E89897" w14:textId="35242835" w:rsidR="00BD524F" w:rsidRPr="002C3CD4" w:rsidRDefault="00BD524F" w:rsidP="00B26031">
      <w:pPr>
        <w:pStyle w:val="TOC2"/>
        <w:tabs>
          <w:tab w:val="right" w:leader="dot" w:pos="9350"/>
        </w:tabs>
        <w:spacing w:after="0" w:line="360" w:lineRule="auto"/>
        <w:rPr>
          <w:rFonts w:ascii="Times New Roman" w:hAnsi="Times New Roman"/>
          <w:noProof/>
          <w:kern w:val="2"/>
          <w:sz w:val="24"/>
          <w:szCs w:val="24"/>
          <w14:ligatures w14:val="standardContextual"/>
        </w:rPr>
      </w:pPr>
      <w:hyperlink w:anchor="_Toc181789847" w:history="1">
        <w:r w:rsidRPr="002C3CD4">
          <w:rPr>
            <w:rStyle w:val="Hyperlink"/>
            <w:rFonts w:ascii="Times New Roman" w:hAnsi="Times New Roman"/>
            <w:noProof/>
            <w:sz w:val="24"/>
            <w:szCs w:val="24"/>
          </w:rPr>
          <w:t>B. Adapting Entire Fairness Review</w:t>
        </w:r>
        <w:r w:rsidRPr="002C3CD4">
          <w:rPr>
            <w:rFonts w:ascii="Times New Roman" w:hAnsi="Times New Roman"/>
            <w:noProof/>
            <w:webHidden/>
            <w:sz w:val="24"/>
            <w:szCs w:val="24"/>
          </w:rPr>
          <w:tab/>
        </w:r>
        <w:r w:rsidRPr="002C3CD4">
          <w:rPr>
            <w:rFonts w:ascii="Times New Roman" w:hAnsi="Times New Roman"/>
            <w:noProof/>
            <w:webHidden/>
            <w:sz w:val="24"/>
            <w:szCs w:val="24"/>
          </w:rPr>
          <w:fldChar w:fldCharType="begin"/>
        </w:r>
        <w:r w:rsidRPr="002C3CD4">
          <w:rPr>
            <w:rFonts w:ascii="Times New Roman" w:hAnsi="Times New Roman"/>
            <w:noProof/>
            <w:webHidden/>
            <w:sz w:val="24"/>
            <w:szCs w:val="24"/>
          </w:rPr>
          <w:instrText xml:space="preserve"> PAGEREF _Toc181789847 \h </w:instrText>
        </w:r>
        <w:r w:rsidRPr="002C3CD4">
          <w:rPr>
            <w:rFonts w:ascii="Times New Roman" w:hAnsi="Times New Roman"/>
            <w:noProof/>
            <w:webHidden/>
            <w:sz w:val="24"/>
            <w:szCs w:val="24"/>
          </w:rPr>
        </w:r>
        <w:r w:rsidRPr="002C3CD4">
          <w:rPr>
            <w:rFonts w:ascii="Times New Roman" w:hAnsi="Times New Roman"/>
            <w:noProof/>
            <w:webHidden/>
            <w:sz w:val="24"/>
            <w:szCs w:val="24"/>
          </w:rPr>
          <w:fldChar w:fldCharType="separate"/>
        </w:r>
        <w:r w:rsidR="0083714B">
          <w:rPr>
            <w:rFonts w:ascii="Times New Roman" w:hAnsi="Times New Roman"/>
            <w:noProof/>
            <w:webHidden/>
            <w:sz w:val="24"/>
            <w:szCs w:val="24"/>
          </w:rPr>
          <w:t>47</w:t>
        </w:r>
        <w:r w:rsidRPr="002C3CD4">
          <w:rPr>
            <w:rFonts w:ascii="Times New Roman" w:hAnsi="Times New Roman"/>
            <w:noProof/>
            <w:webHidden/>
            <w:sz w:val="24"/>
            <w:szCs w:val="24"/>
          </w:rPr>
          <w:fldChar w:fldCharType="end"/>
        </w:r>
      </w:hyperlink>
    </w:p>
    <w:p w14:paraId="0432CC19" w14:textId="2CE37F35" w:rsidR="00BD524F" w:rsidRPr="002C3CD4" w:rsidRDefault="00BD524F" w:rsidP="00B26031">
      <w:pPr>
        <w:pStyle w:val="TOC1"/>
        <w:spacing w:after="0" w:line="360" w:lineRule="auto"/>
        <w:rPr>
          <w:rFonts w:ascii="Times New Roman" w:hAnsi="Times New Roman" w:cs="Times New Roman"/>
          <w:kern w:val="2"/>
          <w:sz w:val="24"/>
          <w:szCs w:val="24"/>
          <w14:ligatures w14:val="standardContextual"/>
        </w:rPr>
      </w:pPr>
      <w:hyperlink w:anchor="_Toc181789848" w:history="1">
        <w:r w:rsidRPr="002C3CD4">
          <w:rPr>
            <w:rStyle w:val="Hyperlink"/>
            <w:rFonts w:ascii="Times New Roman" w:hAnsi="Times New Roman" w:cs="Times New Roman"/>
            <w:sz w:val="24"/>
            <w:szCs w:val="24"/>
          </w:rPr>
          <w:t>V.</w:t>
        </w:r>
        <w:r w:rsidRPr="002C3CD4">
          <w:rPr>
            <w:rFonts w:ascii="Times New Roman" w:hAnsi="Times New Roman" w:cs="Times New Roman"/>
            <w:kern w:val="2"/>
            <w:sz w:val="24"/>
            <w:szCs w:val="24"/>
            <w14:ligatures w14:val="standardContextual"/>
          </w:rPr>
          <w:tab/>
        </w:r>
        <w:r w:rsidRPr="002C3CD4">
          <w:rPr>
            <w:rStyle w:val="Hyperlink"/>
            <w:rFonts w:ascii="Times New Roman" w:hAnsi="Times New Roman" w:cs="Times New Roman"/>
            <w:sz w:val="24"/>
            <w:szCs w:val="24"/>
          </w:rPr>
          <w:t>Conclusion</w:t>
        </w:r>
        <w:r w:rsidRPr="002C3CD4">
          <w:rPr>
            <w:rFonts w:ascii="Times New Roman" w:hAnsi="Times New Roman" w:cs="Times New Roman"/>
            <w:webHidden/>
            <w:sz w:val="24"/>
            <w:szCs w:val="24"/>
          </w:rPr>
          <w:tab/>
        </w:r>
        <w:r w:rsidRPr="002C3CD4">
          <w:rPr>
            <w:rFonts w:ascii="Times New Roman" w:hAnsi="Times New Roman" w:cs="Times New Roman"/>
            <w:webHidden/>
            <w:sz w:val="24"/>
            <w:szCs w:val="24"/>
          </w:rPr>
          <w:fldChar w:fldCharType="begin"/>
        </w:r>
        <w:r w:rsidRPr="002C3CD4">
          <w:rPr>
            <w:rFonts w:ascii="Times New Roman" w:hAnsi="Times New Roman" w:cs="Times New Roman"/>
            <w:webHidden/>
            <w:sz w:val="24"/>
            <w:szCs w:val="24"/>
          </w:rPr>
          <w:instrText xml:space="preserve"> PAGEREF _Toc181789848 \h </w:instrText>
        </w:r>
        <w:r w:rsidRPr="002C3CD4">
          <w:rPr>
            <w:rFonts w:ascii="Times New Roman" w:hAnsi="Times New Roman" w:cs="Times New Roman"/>
            <w:webHidden/>
            <w:sz w:val="24"/>
            <w:szCs w:val="24"/>
          </w:rPr>
        </w:r>
        <w:r w:rsidRPr="002C3CD4">
          <w:rPr>
            <w:rFonts w:ascii="Times New Roman" w:hAnsi="Times New Roman" w:cs="Times New Roman"/>
            <w:webHidden/>
            <w:sz w:val="24"/>
            <w:szCs w:val="24"/>
          </w:rPr>
          <w:fldChar w:fldCharType="separate"/>
        </w:r>
        <w:r w:rsidR="0083714B">
          <w:rPr>
            <w:rFonts w:ascii="Times New Roman" w:hAnsi="Times New Roman" w:cs="Times New Roman"/>
            <w:webHidden/>
            <w:sz w:val="24"/>
            <w:szCs w:val="24"/>
          </w:rPr>
          <w:t>51</w:t>
        </w:r>
        <w:r w:rsidRPr="002C3CD4">
          <w:rPr>
            <w:rFonts w:ascii="Times New Roman" w:hAnsi="Times New Roman" w:cs="Times New Roman"/>
            <w:webHidden/>
            <w:sz w:val="24"/>
            <w:szCs w:val="24"/>
          </w:rPr>
          <w:fldChar w:fldCharType="end"/>
        </w:r>
      </w:hyperlink>
    </w:p>
    <w:p w14:paraId="11FD5A22" w14:textId="752DE464" w:rsidR="00B313EF" w:rsidRPr="00BD524F" w:rsidRDefault="00482933" w:rsidP="00B54C7C">
      <w:pPr>
        <w:spacing w:after="0"/>
        <w:ind w:firstLine="720"/>
        <w:jc w:val="both"/>
        <w:rPr>
          <w:rFonts w:ascii="Times New Roman" w:hAnsi="Times New Roman" w:cs="Times New Roman"/>
          <w:sz w:val="24"/>
          <w:szCs w:val="24"/>
        </w:rPr>
        <w:sectPr w:rsidR="00B313EF" w:rsidRPr="00BD524F" w:rsidSect="00534FDD">
          <w:type w:val="continuous"/>
          <w:pgSz w:w="12240" w:h="15840"/>
          <w:pgMar w:top="1440" w:right="1440" w:bottom="1440" w:left="1440" w:header="720" w:footer="720" w:gutter="0"/>
          <w:pgNumType w:start="0"/>
          <w:cols w:space="720"/>
          <w:docGrid w:linePitch="360"/>
        </w:sectPr>
      </w:pPr>
      <w:r w:rsidRPr="002C3CD4">
        <w:rPr>
          <w:rFonts w:ascii="Times New Roman" w:hAnsi="Times New Roman" w:cs="Times New Roman"/>
          <w:sz w:val="24"/>
          <w:szCs w:val="24"/>
        </w:rPr>
        <w:fldChar w:fldCharType="end"/>
      </w:r>
    </w:p>
    <w:p w14:paraId="517127B5" w14:textId="6080CDE3" w:rsidR="00F64FD9" w:rsidRPr="0042152F" w:rsidRDefault="00F64FD9" w:rsidP="00B54C7C">
      <w:pPr>
        <w:pStyle w:val="Heading1"/>
        <w:spacing w:before="0" w:after="0"/>
      </w:pPr>
      <w:bookmarkStart w:id="0" w:name="_Toc181789832"/>
      <w:r w:rsidRPr="0042152F">
        <w:lastRenderedPageBreak/>
        <w:t>Introduction</w:t>
      </w:r>
      <w:bookmarkEnd w:id="0"/>
    </w:p>
    <w:p w14:paraId="0BCE6E7F" w14:textId="345A91F3" w:rsidR="00DD2BD3" w:rsidRPr="0042152F" w:rsidRDefault="0006135C"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In January 2024, the </w:t>
      </w:r>
      <w:r w:rsidR="00597088" w:rsidRPr="0042152F">
        <w:rPr>
          <w:rFonts w:ascii="Times New Roman" w:hAnsi="Times New Roman" w:cs="Times New Roman"/>
          <w:sz w:val="24"/>
          <w:szCs w:val="24"/>
        </w:rPr>
        <w:t>Delaware Chancery Court</w:t>
      </w:r>
      <w:r w:rsidR="00D12452" w:rsidRPr="0042152F">
        <w:rPr>
          <w:rFonts w:ascii="Times New Roman" w:hAnsi="Times New Roman" w:cs="Times New Roman"/>
          <w:sz w:val="24"/>
          <w:szCs w:val="24"/>
        </w:rPr>
        <w:t xml:space="preserve"> </w:t>
      </w:r>
      <w:r w:rsidR="00EE17EC" w:rsidRPr="0042152F">
        <w:rPr>
          <w:rFonts w:ascii="Times New Roman" w:hAnsi="Times New Roman" w:cs="Times New Roman"/>
          <w:sz w:val="24"/>
          <w:szCs w:val="24"/>
        </w:rPr>
        <w:t xml:space="preserve">rescinded </w:t>
      </w:r>
      <w:r w:rsidR="00223C19" w:rsidRPr="0042152F">
        <w:rPr>
          <w:rFonts w:ascii="Times New Roman" w:hAnsi="Times New Roman" w:cs="Times New Roman"/>
          <w:sz w:val="24"/>
          <w:szCs w:val="24"/>
        </w:rPr>
        <w:t>Tesla’s</w:t>
      </w:r>
      <w:r w:rsidR="00597088" w:rsidRPr="0042152F">
        <w:rPr>
          <w:rFonts w:ascii="Times New Roman" w:hAnsi="Times New Roman" w:cs="Times New Roman"/>
          <w:sz w:val="24"/>
          <w:szCs w:val="24"/>
        </w:rPr>
        <w:t xml:space="preserve"> $55.8 billion dollar stock-option grant to Elon Musk</w:t>
      </w:r>
      <w:r w:rsidR="00223C19" w:rsidRPr="0042152F">
        <w:rPr>
          <w:rFonts w:ascii="Times New Roman" w:hAnsi="Times New Roman" w:cs="Times New Roman"/>
          <w:sz w:val="24"/>
          <w:szCs w:val="24"/>
        </w:rPr>
        <w:t>—the largest executive pay package in history</w:t>
      </w:r>
      <w:r w:rsidR="00597088" w:rsidRPr="0042152F">
        <w:rPr>
          <w:rFonts w:ascii="Times New Roman" w:hAnsi="Times New Roman" w:cs="Times New Roman"/>
          <w:sz w:val="24"/>
          <w:szCs w:val="24"/>
        </w:rPr>
        <w:t>.</w:t>
      </w:r>
      <w:r w:rsidR="00597088" w:rsidRPr="0042152F">
        <w:rPr>
          <w:rStyle w:val="FootnoteReference"/>
          <w:rFonts w:ascii="Times New Roman" w:hAnsi="Times New Roman" w:cs="Times New Roman"/>
          <w:sz w:val="24"/>
          <w:szCs w:val="24"/>
        </w:rPr>
        <w:footnoteReference w:id="5"/>
      </w:r>
      <w:r w:rsidR="00597088" w:rsidRPr="0042152F">
        <w:rPr>
          <w:rFonts w:ascii="Times New Roman" w:hAnsi="Times New Roman" w:cs="Times New Roman"/>
          <w:sz w:val="24"/>
          <w:szCs w:val="24"/>
        </w:rPr>
        <w:t xml:space="preserve"> </w:t>
      </w:r>
      <w:r w:rsidR="00D3653B" w:rsidRPr="0042152F">
        <w:rPr>
          <w:rFonts w:ascii="Times New Roman" w:hAnsi="Times New Roman" w:cs="Times New Roman"/>
          <w:sz w:val="24"/>
          <w:szCs w:val="24"/>
        </w:rPr>
        <w:t>Of course, this was</w:t>
      </w:r>
      <w:r w:rsidR="00223C19" w:rsidRPr="0042152F">
        <w:rPr>
          <w:rFonts w:ascii="Times New Roman" w:hAnsi="Times New Roman" w:cs="Times New Roman"/>
          <w:sz w:val="24"/>
          <w:szCs w:val="24"/>
        </w:rPr>
        <w:t xml:space="preserve"> a</w:t>
      </w:r>
      <w:r w:rsidR="00D3653B" w:rsidRPr="0042152F">
        <w:rPr>
          <w:rFonts w:ascii="Times New Roman" w:hAnsi="Times New Roman" w:cs="Times New Roman"/>
          <w:sz w:val="24"/>
          <w:szCs w:val="24"/>
        </w:rPr>
        <w:t xml:space="preserve"> </w:t>
      </w:r>
      <w:r w:rsidR="00597088" w:rsidRPr="0042152F">
        <w:rPr>
          <w:rFonts w:ascii="Times New Roman" w:hAnsi="Times New Roman" w:cs="Times New Roman"/>
          <w:sz w:val="24"/>
          <w:szCs w:val="24"/>
        </w:rPr>
        <w:t xml:space="preserve">staggering amount of money, dwarfing typical CEO </w:t>
      </w:r>
      <w:r w:rsidR="00EB599E" w:rsidRPr="0042152F">
        <w:rPr>
          <w:rFonts w:ascii="Times New Roman" w:hAnsi="Times New Roman" w:cs="Times New Roman"/>
          <w:sz w:val="24"/>
          <w:szCs w:val="24"/>
        </w:rPr>
        <w:t>pay packages</w:t>
      </w:r>
      <w:r w:rsidR="00223C19" w:rsidRPr="0042152F">
        <w:rPr>
          <w:rFonts w:ascii="Times New Roman" w:hAnsi="Times New Roman" w:cs="Times New Roman"/>
          <w:sz w:val="24"/>
          <w:szCs w:val="24"/>
        </w:rPr>
        <w:t xml:space="preserve"> and even exceeding the annual GDP of many small count</w:t>
      </w:r>
      <w:r w:rsidR="0013153A">
        <w:rPr>
          <w:rFonts w:ascii="Times New Roman" w:hAnsi="Times New Roman" w:cs="Times New Roman"/>
          <w:sz w:val="24"/>
          <w:szCs w:val="24"/>
        </w:rPr>
        <w:t>r</w:t>
      </w:r>
      <w:r w:rsidR="00223C19" w:rsidRPr="0042152F">
        <w:rPr>
          <w:rFonts w:ascii="Times New Roman" w:hAnsi="Times New Roman" w:cs="Times New Roman"/>
          <w:sz w:val="24"/>
          <w:szCs w:val="24"/>
        </w:rPr>
        <w:t>ies</w:t>
      </w:r>
      <w:r w:rsidR="00D3653B" w:rsidRPr="0042152F">
        <w:rPr>
          <w:rFonts w:ascii="Times New Roman" w:hAnsi="Times New Roman" w:cs="Times New Roman"/>
          <w:sz w:val="24"/>
          <w:szCs w:val="24"/>
        </w:rPr>
        <w:t>.</w:t>
      </w:r>
      <w:r w:rsidR="00597088" w:rsidRPr="0042152F">
        <w:rPr>
          <w:rStyle w:val="FootnoteReference"/>
          <w:rFonts w:ascii="Times New Roman" w:hAnsi="Times New Roman" w:cs="Times New Roman"/>
          <w:sz w:val="24"/>
          <w:szCs w:val="24"/>
        </w:rPr>
        <w:footnoteReference w:id="6"/>
      </w:r>
      <w:r w:rsidR="00597088" w:rsidRPr="0042152F">
        <w:rPr>
          <w:rFonts w:ascii="Times New Roman" w:hAnsi="Times New Roman" w:cs="Times New Roman"/>
          <w:sz w:val="24"/>
          <w:szCs w:val="24"/>
        </w:rPr>
        <w:t xml:space="preserve"> But when Tesla first announced Musk’s compensation plan </w:t>
      </w:r>
      <w:r w:rsidR="00D3653B" w:rsidRPr="0042152F">
        <w:rPr>
          <w:rFonts w:ascii="Times New Roman" w:hAnsi="Times New Roman" w:cs="Times New Roman"/>
          <w:sz w:val="24"/>
          <w:szCs w:val="24"/>
        </w:rPr>
        <w:t>on</w:t>
      </w:r>
      <w:r w:rsidR="00597088" w:rsidRPr="0042152F">
        <w:rPr>
          <w:rFonts w:ascii="Times New Roman" w:hAnsi="Times New Roman" w:cs="Times New Roman"/>
          <w:sz w:val="24"/>
          <w:szCs w:val="24"/>
        </w:rPr>
        <w:t xml:space="preserve"> January 23</w:t>
      </w:r>
      <w:r w:rsidR="00062349" w:rsidRPr="0042152F">
        <w:rPr>
          <w:rFonts w:ascii="Times New Roman" w:hAnsi="Times New Roman" w:cs="Times New Roman"/>
          <w:sz w:val="24"/>
          <w:szCs w:val="24"/>
        </w:rPr>
        <w:t>,</w:t>
      </w:r>
      <w:r w:rsidR="00D3653B" w:rsidRPr="0042152F">
        <w:rPr>
          <w:rFonts w:ascii="Times New Roman" w:hAnsi="Times New Roman" w:cs="Times New Roman"/>
          <w:sz w:val="24"/>
          <w:szCs w:val="24"/>
          <w:vertAlign w:val="superscript"/>
        </w:rPr>
        <w:t xml:space="preserve"> </w:t>
      </w:r>
      <w:r w:rsidR="00597088" w:rsidRPr="0042152F">
        <w:rPr>
          <w:rFonts w:ascii="Times New Roman" w:hAnsi="Times New Roman" w:cs="Times New Roman"/>
          <w:sz w:val="24"/>
          <w:szCs w:val="24"/>
        </w:rPr>
        <w:t>2018</w:t>
      </w:r>
      <w:r w:rsidR="002D62AA" w:rsidRPr="0042152F">
        <w:rPr>
          <w:rFonts w:ascii="Times New Roman" w:hAnsi="Times New Roman" w:cs="Times New Roman"/>
          <w:sz w:val="24"/>
          <w:szCs w:val="24"/>
        </w:rPr>
        <w:t>,</w:t>
      </w:r>
      <w:r w:rsidR="00597088" w:rsidRPr="0042152F">
        <w:rPr>
          <w:rStyle w:val="FootnoteReference"/>
          <w:rFonts w:ascii="Times New Roman" w:hAnsi="Times New Roman" w:cs="Times New Roman"/>
          <w:sz w:val="24"/>
          <w:szCs w:val="24"/>
        </w:rPr>
        <w:footnoteReference w:id="7"/>
      </w:r>
      <w:r w:rsidR="00597088" w:rsidRPr="0042152F">
        <w:rPr>
          <w:rFonts w:ascii="Times New Roman" w:hAnsi="Times New Roman" w:cs="Times New Roman"/>
          <w:sz w:val="24"/>
          <w:szCs w:val="24"/>
        </w:rPr>
        <w:t xml:space="preserve"> many considered it extremely unlikely Musk would earn this payday.</w:t>
      </w:r>
      <w:r w:rsidR="00597088" w:rsidRPr="0042152F">
        <w:rPr>
          <w:rStyle w:val="FootnoteReference"/>
          <w:rFonts w:ascii="Times New Roman" w:hAnsi="Times New Roman" w:cs="Times New Roman"/>
          <w:sz w:val="24"/>
          <w:szCs w:val="24"/>
        </w:rPr>
        <w:footnoteReference w:id="8"/>
      </w:r>
      <w:r w:rsidR="00597088" w:rsidRPr="0042152F">
        <w:rPr>
          <w:rFonts w:ascii="Times New Roman" w:hAnsi="Times New Roman" w:cs="Times New Roman"/>
          <w:sz w:val="24"/>
          <w:szCs w:val="24"/>
        </w:rPr>
        <w:t xml:space="preserve"> </w:t>
      </w:r>
    </w:p>
    <w:p w14:paraId="74FDA555" w14:textId="42B40F00" w:rsidR="00615C90" w:rsidRPr="0042152F" w:rsidRDefault="00597088"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Under the compensation plan, Musk’s receipt of a series of 1% stock grants was contingent on Tesla achieving certain performance milestones over the next ten years</w:t>
      </w:r>
      <w:r w:rsidR="007D40C6" w:rsidRPr="0042152F">
        <w:rPr>
          <w:rStyle w:val="FootnoteReference"/>
          <w:rFonts w:ascii="Times New Roman" w:hAnsi="Times New Roman" w:cs="Times New Roman"/>
          <w:sz w:val="24"/>
          <w:szCs w:val="24"/>
        </w:rPr>
        <w:footnoteReference w:id="9"/>
      </w:r>
      <w:r w:rsidR="007D40C6" w:rsidRPr="0042152F">
        <w:rPr>
          <w:rFonts w:ascii="Times New Roman" w:hAnsi="Times New Roman" w:cs="Times New Roman"/>
          <w:sz w:val="24"/>
          <w:szCs w:val="24"/>
        </w:rPr>
        <w:t>—</w:t>
      </w:r>
      <w:r w:rsidR="00062349" w:rsidRPr="0042152F">
        <w:rPr>
          <w:rFonts w:ascii="Times New Roman" w:hAnsi="Times New Roman" w:cs="Times New Roman"/>
          <w:sz w:val="24"/>
          <w:szCs w:val="24"/>
        </w:rPr>
        <w:t>milestones that were deemed “laughably impossible” by Tesla’s detractors.</w:t>
      </w:r>
      <w:r w:rsidR="00062349" w:rsidRPr="0042152F">
        <w:rPr>
          <w:rStyle w:val="FootnoteReference"/>
          <w:rFonts w:ascii="Times New Roman" w:hAnsi="Times New Roman" w:cs="Times New Roman"/>
          <w:sz w:val="24"/>
          <w:szCs w:val="24"/>
        </w:rPr>
        <w:footnoteReference w:id="10"/>
      </w:r>
      <w:r w:rsidRPr="0042152F">
        <w:rPr>
          <w:rFonts w:ascii="Times New Roman" w:hAnsi="Times New Roman" w:cs="Times New Roman"/>
          <w:sz w:val="24"/>
          <w:szCs w:val="24"/>
        </w:rPr>
        <w:t xml:space="preserve"> To earn the maximum payout under the plan, Musk would have to take Tesla from about a $59 billion dollar market value to $650 billion within 10 years—a “jaw-dropping”</w:t>
      </w:r>
      <w:r w:rsidRPr="0042152F">
        <w:rPr>
          <w:rStyle w:val="FootnoteReference"/>
          <w:rFonts w:ascii="Times New Roman" w:hAnsi="Times New Roman" w:cs="Times New Roman"/>
          <w:sz w:val="24"/>
          <w:szCs w:val="24"/>
        </w:rPr>
        <w:footnoteReference w:id="11"/>
      </w:r>
      <w:r w:rsidRPr="0042152F">
        <w:rPr>
          <w:rFonts w:ascii="Times New Roman" w:hAnsi="Times New Roman" w:cs="Times New Roman"/>
          <w:sz w:val="24"/>
          <w:szCs w:val="24"/>
        </w:rPr>
        <w:t xml:space="preserve"> goal that some called a publicity stunt.</w:t>
      </w:r>
      <w:r w:rsidRPr="0042152F">
        <w:rPr>
          <w:rStyle w:val="FootnoteReference"/>
          <w:rFonts w:ascii="Times New Roman" w:hAnsi="Times New Roman" w:cs="Times New Roman"/>
          <w:sz w:val="24"/>
          <w:szCs w:val="24"/>
        </w:rPr>
        <w:footnoteReference w:id="12"/>
      </w:r>
      <w:r w:rsidR="00990AE6" w:rsidRPr="0042152F">
        <w:rPr>
          <w:rFonts w:ascii="Times New Roman" w:hAnsi="Times New Roman" w:cs="Times New Roman"/>
          <w:sz w:val="24"/>
          <w:szCs w:val="24"/>
        </w:rPr>
        <w:t xml:space="preserve"> </w:t>
      </w:r>
    </w:p>
    <w:p w14:paraId="2E26C50A" w14:textId="441B0B29" w:rsidR="00597088" w:rsidRPr="0042152F" w:rsidRDefault="00133924" w:rsidP="002A3AE4">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When Tesla </w:t>
      </w:r>
      <w:r w:rsidR="00032A73" w:rsidRPr="0042152F">
        <w:rPr>
          <w:rFonts w:ascii="Times New Roman" w:hAnsi="Times New Roman" w:cs="Times New Roman"/>
          <w:sz w:val="24"/>
          <w:szCs w:val="24"/>
        </w:rPr>
        <w:t>designed the compensation plan</w:t>
      </w:r>
      <w:r w:rsidRPr="0042152F">
        <w:rPr>
          <w:rFonts w:ascii="Times New Roman" w:hAnsi="Times New Roman" w:cs="Times New Roman"/>
          <w:sz w:val="24"/>
          <w:szCs w:val="24"/>
        </w:rPr>
        <w:t>, its</w:t>
      </w:r>
      <w:r w:rsidR="00597088" w:rsidRPr="0042152F">
        <w:rPr>
          <w:rFonts w:ascii="Times New Roman" w:hAnsi="Times New Roman" w:cs="Times New Roman"/>
          <w:sz w:val="24"/>
          <w:szCs w:val="24"/>
        </w:rPr>
        <w:t xml:space="preserve"> outlook was grim. </w:t>
      </w:r>
      <w:r w:rsidRPr="0042152F">
        <w:rPr>
          <w:rFonts w:ascii="Times New Roman" w:hAnsi="Times New Roman" w:cs="Times New Roman"/>
          <w:sz w:val="24"/>
          <w:szCs w:val="24"/>
        </w:rPr>
        <w:t>It had recently reported record losses and struggled to meet production targets for its new Model 3 car.</w:t>
      </w:r>
      <w:r w:rsidR="00597088" w:rsidRPr="0042152F">
        <w:rPr>
          <w:rStyle w:val="FootnoteReference"/>
          <w:rFonts w:ascii="Times New Roman" w:hAnsi="Times New Roman" w:cs="Times New Roman"/>
          <w:sz w:val="24"/>
          <w:szCs w:val="24"/>
        </w:rPr>
        <w:footnoteReference w:id="13"/>
      </w:r>
      <w:r w:rsidR="00597088"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By October 2018, </w:t>
      </w:r>
      <w:r w:rsidR="00807783" w:rsidRPr="0042152F">
        <w:rPr>
          <w:rFonts w:ascii="Times New Roman" w:hAnsi="Times New Roman" w:cs="Times New Roman"/>
          <w:sz w:val="24"/>
          <w:szCs w:val="24"/>
        </w:rPr>
        <w:t xml:space="preserve">several months after Tesla </w:t>
      </w:r>
      <w:r w:rsidR="00620161" w:rsidRPr="0042152F">
        <w:rPr>
          <w:rFonts w:ascii="Times New Roman" w:hAnsi="Times New Roman" w:cs="Times New Roman"/>
          <w:sz w:val="24"/>
          <w:szCs w:val="24"/>
        </w:rPr>
        <w:t xml:space="preserve">announced Musk’s compensation plan, </w:t>
      </w:r>
      <w:r w:rsidRPr="0042152F">
        <w:rPr>
          <w:rFonts w:ascii="Times New Roman" w:hAnsi="Times New Roman" w:cs="Times New Roman"/>
          <w:sz w:val="24"/>
          <w:szCs w:val="24"/>
        </w:rPr>
        <w:t xml:space="preserve">Tesla's share price plummeted to below $17, prompting </w:t>
      </w:r>
      <w:r w:rsidR="0039441A" w:rsidRPr="0042152F">
        <w:rPr>
          <w:rFonts w:ascii="Times New Roman" w:hAnsi="Times New Roman" w:cs="Times New Roman"/>
          <w:sz w:val="24"/>
          <w:szCs w:val="24"/>
        </w:rPr>
        <w:t xml:space="preserve">hedge </w:t>
      </w:r>
      <w:r w:rsidR="00062349" w:rsidRPr="0042152F">
        <w:rPr>
          <w:rFonts w:ascii="Times New Roman" w:hAnsi="Times New Roman" w:cs="Times New Roman"/>
          <w:sz w:val="24"/>
          <w:szCs w:val="24"/>
        </w:rPr>
        <w:t>fund manager</w:t>
      </w:r>
      <w:r w:rsidR="00597088" w:rsidRPr="0042152F">
        <w:rPr>
          <w:rFonts w:ascii="Times New Roman" w:hAnsi="Times New Roman" w:cs="Times New Roman"/>
          <w:sz w:val="24"/>
          <w:szCs w:val="24"/>
        </w:rPr>
        <w:t xml:space="preserve"> David Einhorn</w:t>
      </w:r>
      <w:r w:rsidR="00062349" w:rsidRPr="0042152F">
        <w:rPr>
          <w:rFonts w:ascii="Times New Roman" w:hAnsi="Times New Roman" w:cs="Times New Roman"/>
          <w:sz w:val="24"/>
          <w:szCs w:val="24"/>
        </w:rPr>
        <w:t xml:space="preserve"> </w:t>
      </w:r>
      <w:r w:rsidR="00597088" w:rsidRPr="0042152F">
        <w:rPr>
          <w:rFonts w:ascii="Times New Roman" w:hAnsi="Times New Roman" w:cs="Times New Roman"/>
          <w:sz w:val="24"/>
          <w:szCs w:val="24"/>
        </w:rPr>
        <w:t>to</w:t>
      </w:r>
      <w:r w:rsidRPr="0042152F">
        <w:rPr>
          <w:rFonts w:ascii="Times New Roman" w:hAnsi="Times New Roman" w:cs="Times New Roman"/>
          <w:sz w:val="24"/>
          <w:szCs w:val="24"/>
        </w:rPr>
        <w:t xml:space="preserve"> alert</w:t>
      </w:r>
      <w:r w:rsidR="00597088" w:rsidRPr="0042152F">
        <w:rPr>
          <w:rFonts w:ascii="Times New Roman" w:hAnsi="Times New Roman" w:cs="Times New Roman"/>
          <w:sz w:val="24"/>
          <w:szCs w:val="24"/>
        </w:rPr>
        <w:t xml:space="preserve"> his investors </w:t>
      </w:r>
      <w:r w:rsidR="00597088" w:rsidRPr="0042152F" w:rsidDel="00E13BCD">
        <w:rPr>
          <w:rFonts w:ascii="Times New Roman" w:hAnsi="Times New Roman" w:cs="Times New Roman"/>
          <w:sz w:val="24"/>
          <w:szCs w:val="24"/>
        </w:rPr>
        <w:t xml:space="preserve">that </w:t>
      </w:r>
      <w:r w:rsidR="00597088" w:rsidRPr="0042152F">
        <w:rPr>
          <w:rFonts w:ascii="Times New Roman" w:hAnsi="Times New Roman" w:cs="Times New Roman"/>
          <w:sz w:val="24"/>
          <w:szCs w:val="24"/>
        </w:rPr>
        <w:t xml:space="preserve">Tesla bore a grim resemblance to Lehman Brothers before its 2008 bankruptcy (a collapse that Einhorn had </w:t>
      </w:r>
      <w:r w:rsidR="00B06B61" w:rsidRPr="0042152F">
        <w:rPr>
          <w:rFonts w:ascii="Times New Roman" w:hAnsi="Times New Roman" w:cs="Times New Roman"/>
          <w:sz w:val="24"/>
          <w:szCs w:val="24"/>
        </w:rPr>
        <w:t>foreseen</w:t>
      </w:r>
      <w:r w:rsidR="00597088" w:rsidRPr="0042152F">
        <w:rPr>
          <w:rFonts w:ascii="Times New Roman" w:hAnsi="Times New Roman" w:cs="Times New Roman"/>
          <w:sz w:val="24"/>
          <w:szCs w:val="24"/>
        </w:rPr>
        <w:t xml:space="preserve"> months</w:t>
      </w:r>
      <w:r w:rsidR="00B06B61" w:rsidRPr="0042152F">
        <w:rPr>
          <w:rFonts w:ascii="Times New Roman" w:hAnsi="Times New Roman" w:cs="Times New Roman"/>
          <w:sz w:val="24"/>
          <w:szCs w:val="24"/>
        </w:rPr>
        <w:t xml:space="preserve"> before it occurred</w:t>
      </w:r>
      <w:r w:rsidR="00597088" w:rsidRPr="0042152F">
        <w:rPr>
          <w:rFonts w:ascii="Times New Roman" w:hAnsi="Times New Roman" w:cs="Times New Roman"/>
          <w:sz w:val="24"/>
          <w:szCs w:val="24"/>
        </w:rPr>
        <w:t>).</w:t>
      </w:r>
      <w:r w:rsidR="00597088" w:rsidRPr="0042152F">
        <w:rPr>
          <w:rFonts w:ascii="Times New Roman" w:hAnsi="Times New Roman" w:cs="Times New Roman"/>
          <w:sz w:val="24"/>
          <w:szCs w:val="24"/>
          <w:vertAlign w:val="superscript"/>
        </w:rPr>
        <w:footnoteReference w:id="14"/>
      </w:r>
      <w:r w:rsidR="00597088"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By June 2019, </w:t>
      </w:r>
      <w:r w:rsidR="006867E1" w:rsidRPr="0042152F">
        <w:rPr>
          <w:rFonts w:ascii="Times New Roman" w:hAnsi="Times New Roman" w:cs="Times New Roman"/>
          <w:sz w:val="24"/>
          <w:szCs w:val="24"/>
        </w:rPr>
        <w:t xml:space="preserve">Tesla’s </w:t>
      </w:r>
      <w:r w:rsidRPr="0042152F">
        <w:rPr>
          <w:rFonts w:ascii="Times New Roman" w:hAnsi="Times New Roman" w:cs="Times New Roman"/>
          <w:sz w:val="24"/>
          <w:szCs w:val="24"/>
        </w:rPr>
        <w:t>shares had plunged further, dropping below $12</w:t>
      </w:r>
      <w:r w:rsidR="00C77F1D" w:rsidRPr="0042152F">
        <w:rPr>
          <w:rFonts w:ascii="Times New Roman" w:hAnsi="Times New Roman" w:cs="Times New Roman"/>
          <w:sz w:val="24"/>
          <w:szCs w:val="24"/>
        </w:rPr>
        <w:t>—</w:t>
      </w:r>
      <w:r w:rsidRPr="0042152F">
        <w:rPr>
          <w:rFonts w:ascii="Times New Roman" w:hAnsi="Times New Roman" w:cs="Times New Roman"/>
          <w:sz w:val="24"/>
          <w:szCs w:val="24"/>
        </w:rPr>
        <w:t xml:space="preserve">a 48% decrease </w:t>
      </w:r>
      <w:r w:rsidR="00C77F1D" w:rsidRPr="0042152F">
        <w:rPr>
          <w:rFonts w:ascii="Times New Roman" w:hAnsi="Times New Roman" w:cs="Times New Roman"/>
          <w:sz w:val="24"/>
          <w:szCs w:val="24"/>
        </w:rPr>
        <w:t xml:space="preserve">from </w:t>
      </w:r>
      <w:r w:rsidRPr="0042152F">
        <w:rPr>
          <w:rFonts w:ascii="Times New Roman" w:hAnsi="Times New Roman" w:cs="Times New Roman"/>
          <w:sz w:val="24"/>
          <w:szCs w:val="24"/>
        </w:rPr>
        <w:t>the</w:t>
      </w:r>
      <w:r w:rsidR="00C77F1D" w:rsidRPr="0042152F">
        <w:rPr>
          <w:rFonts w:ascii="Times New Roman" w:hAnsi="Times New Roman" w:cs="Times New Roman"/>
          <w:sz w:val="24"/>
          <w:szCs w:val="24"/>
        </w:rPr>
        <w:t xml:space="preserve"> date of the</w:t>
      </w:r>
      <w:r w:rsidRPr="0042152F">
        <w:rPr>
          <w:rFonts w:ascii="Times New Roman" w:hAnsi="Times New Roman" w:cs="Times New Roman"/>
          <w:sz w:val="24"/>
          <w:szCs w:val="24"/>
        </w:rPr>
        <w:t xml:space="preserve"> </w:t>
      </w:r>
      <w:r w:rsidR="00C77F1D" w:rsidRPr="0042152F">
        <w:rPr>
          <w:rFonts w:ascii="Times New Roman" w:hAnsi="Times New Roman" w:cs="Times New Roman"/>
          <w:sz w:val="24"/>
          <w:szCs w:val="24"/>
        </w:rPr>
        <w:t xml:space="preserve">plan’s </w:t>
      </w:r>
      <w:r w:rsidRPr="0042152F">
        <w:rPr>
          <w:rFonts w:ascii="Times New Roman" w:hAnsi="Times New Roman" w:cs="Times New Roman"/>
          <w:sz w:val="24"/>
          <w:szCs w:val="24"/>
        </w:rPr>
        <w:t xml:space="preserve">announcement. </w:t>
      </w:r>
      <w:r w:rsidR="006F5A65" w:rsidRPr="0042152F">
        <w:rPr>
          <w:rFonts w:ascii="Times New Roman" w:hAnsi="Times New Roman" w:cs="Times New Roman"/>
          <w:sz w:val="24"/>
          <w:szCs w:val="24"/>
        </w:rPr>
        <w:t xml:space="preserve">It </w:t>
      </w:r>
      <w:r w:rsidR="00C77F1D" w:rsidRPr="0042152F">
        <w:rPr>
          <w:rFonts w:ascii="Times New Roman" w:hAnsi="Times New Roman" w:cs="Times New Roman"/>
          <w:sz w:val="24"/>
          <w:szCs w:val="24"/>
        </w:rPr>
        <w:t xml:space="preserve">was not </w:t>
      </w:r>
      <w:r w:rsidR="006F5A65" w:rsidRPr="0042152F">
        <w:rPr>
          <w:rFonts w:ascii="Times New Roman" w:hAnsi="Times New Roman" w:cs="Times New Roman"/>
          <w:sz w:val="24"/>
          <w:szCs w:val="24"/>
        </w:rPr>
        <w:t xml:space="preserve">until December 2019 that the stock price finally rebounded to its initial level of $23.51, where it had stood two years earlier when the plan was introduced. </w:t>
      </w:r>
      <w:r w:rsidR="00597088" w:rsidRPr="0042152F">
        <w:rPr>
          <w:rFonts w:ascii="Times New Roman" w:hAnsi="Times New Roman" w:cs="Times New Roman"/>
          <w:sz w:val="24"/>
          <w:szCs w:val="24"/>
        </w:rPr>
        <w:t xml:space="preserve">Musk </w:t>
      </w:r>
      <w:r w:rsidR="00ED49B8" w:rsidRPr="0042152F">
        <w:rPr>
          <w:rFonts w:ascii="Times New Roman" w:hAnsi="Times New Roman" w:cs="Times New Roman"/>
          <w:sz w:val="24"/>
          <w:szCs w:val="24"/>
        </w:rPr>
        <w:t xml:space="preserve">himself </w:t>
      </w:r>
      <w:r w:rsidR="00597088" w:rsidRPr="0042152F">
        <w:rPr>
          <w:rFonts w:ascii="Times New Roman" w:hAnsi="Times New Roman" w:cs="Times New Roman"/>
          <w:sz w:val="24"/>
          <w:szCs w:val="24"/>
        </w:rPr>
        <w:t>described this period as “</w:t>
      </w:r>
      <w:r w:rsidR="00B54C7C" w:rsidRPr="0042152F">
        <w:rPr>
          <w:rFonts w:ascii="Times New Roman" w:hAnsi="Times New Roman" w:cs="Times New Roman"/>
          <w:sz w:val="24"/>
          <w:szCs w:val="24"/>
        </w:rPr>
        <w:t>incredi</w:t>
      </w:r>
      <w:r w:rsidR="00B54C7C">
        <w:rPr>
          <w:rFonts w:ascii="Times New Roman" w:hAnsi="Times New Roman" w:cs="Times New Roman"/>
          <w:sz w:val="24"/>
          <w:szCs w:val="24"/>
        </w:rPr>
        <w:t>bly</w:t>
      </w:r>
      <w:r w:rsidR="00597088" w:rsidRPr="0042152F">
        <w:rPr>
          <w:rFonts w:ascii="Times New Roman" w:hAnsi="Times New Roman" w:cs="Times New Roman"/>
          <w:sz w:val="24"/>
          <w:szCs w:val="24"/>
        </w:rPr>
        <w:t xml:space="preserve"> </w:t>
      </w:r>
      <w:r w:rsidR="00597088" w:rsidRPr="0042152F">
        <w:rPr>
          <w:rFonts w:ascii="Times New Roman" w:hAnsi="Times New Roman" w:cs="Times New Roman"/>
          <w:sz w:val="24"/>
          <w:szCs w:val="24"/>
        </w:rPr>
        <w:lastRenderedPageBreak/>
        <w:t>difficult and painful” to the point where he was “sleeping on the floor of the factory” as he tried to solve the production delays.</w:t>
      </w:r>
      <w:r w:rsidR="00597088" w:rsidRPr="0042152F">
        <w:rPr>
          <w:rStyle w:val="FootnoteReference"/>
          <w:rFonts w:ascii="Times New Roman" w:hAnsi="Times New Roman" w:cs="Times New Roman"/>
          <w:sz w:val="24"/>
          <w:szCs w:val="24"/>
        </w:rPr>
        <w:footnoteReference w:id="15"/>
      </w:r>
      <w:r w:rsidR="00597088" w:rsidRPr="0042152F">
        <w:rPr>
          <w:rFonts w:ascii="Times New Roman" w:hAnsi="Times New Roman" w:cs="Times New Roman"/>
          <w:sz w:val="24"/>
          <w:szCs w:val="24"/>
        </w:rPr>
        <w:t xml:space="preserve"> </w:t>
      </w:r>
      <w:r w:rsidR="00F82DFF" w:rsidRPr="0042152F">
        <w:rPr>
          <w:rFonts w:ascii="Times New Roman" w:hAnsi="Times New Roman" w:cs="Times New Roman"/>
          <w:sz w:val="24"/>
          <w:szCs w:val="24"/>
        </w:rPr>
        <w:t>During this time, Musk received no guaranteed compensation of any kind.</w:t>
      </w:r>
    </w:p>
    <w:p w14:paraId="5C408F37" w14:textId="263D2BEA" w:rsidR="009136EC" w:rsidRPr="0042152F" w:rsidRDefault="000E5CB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Amid</w:t>
      </w:r>
      <w:r w:rsidR="00ED49B8" w:rsidRPr="0042152F">
        <w:rPr>
          <w:rFonts w:ascii="Times New Roman" w:hAnsi="Times New Roman" w:cs="Times New Roman"/>
          <w:sz w:val="24"/>
          <w:szCs w:val="24"/>
        </w:rPr>
        <w:t xml:space="preserve"> this period of turmoil, </w:t>
      </w:r>
      <w:r w:rsidR="00597088" w:rsidRPr="0042152F">
        <w:rPr>
          <w:rFonts w:ascii="Times New Roman" w:hAnsi="Times New Roman" w:cs="Times New Roman"/>
          <w:sz w:val="24"/>
          <w:szCs w:val="24"/>
        </w:rPr>
        <w:t xml:space="preserve">Tesla stockholder Richard Tornetta filed </w:t>
      </w:r>
      <w:r w:rsidR="00D359BC" w:rsidRPr="0042152F">
        <w:rPr>
          <w:rFonts w:ascii="Times New Roman" w:hAnsi="Times New Roman" w:cs="Times New Roman"/>
          <w:sz w:val="24"/>
          <w:szCs w:val="24"/>
        </w:rPr>
        <w:t>a law</w:t>
      </w:r>
      <w:r w:rsidR="00597088" w:rsidRPr="0042152F">
        <w:rPr>
          <w:rFonts w:ascii="Times New Roman" w:hAnsi="Times New Roman" w:cs="Times New Roman"/>
          <w:sz w:val="24"/>
          <w:szCs w:val="24"/>
        </w:rPr>
        <w:t>suit</w:t>
      </w:r>
      <w:r w:rsidR="00FA5306" w:rsidRPr="0042152F">
        <w:rPr>
          <w:rFonts w:ascii="Times New Roman" w:hAnsi="Times New Roman" w:cs="Times New Roman"/>
          <w:sz w:val="24"/>
          <w:szCs w:val="24"/>
        </w:rPr>
        <w:t xml:space="preserve"> on</w:t>
      </w:r>
      <w:r w:rsidR="00597088" w:rsidRPr="0042152F">
        <w:rPr>
          <w:rFonts w:ascii="Times New Roman" w:hAnsi="Times New Roman" w:cs="Times New Roman"/>
          <w:sz w:val="24"/>
          <w:szCs w:val="24"/>
        </w:rPr>
        <w:t xml:space="preserve"> June 5, 2018,</w:t>
      </w:r>
      <w:r w:rsidR="00ED49B8" w:rsidRPr="0042152F">
        <w:rPr>
          <w:rFonts w:ascii="Times New Roman" w:hAnsi="Times New Roman" w:cs="Times New Roman"/>
          <w:sz w:val="24"/>
          <w:szCs w:val="24"/>
        </w:rPr>
        <w:t xml:space="preserve"> </w:t>
      </w:r>
      <w:r w:rsidR="00597088" w:rsidRPr="0042152F">
        <w:rPr>
          <w:rFonts w:ascii="Times New Roman" w:hAnsi="Times New Roman" w:cs="Times New Roman"/>
          <w:sz w:val="24"/>
          <w:szCs w:val="24"/>
        </w:rPr>
        <w:t>claiming that Tesla</w:t>
      </w:r>
      <w:r w:rsidR="00032A73" w:rsidRPr="0042152F">
        <w:rPr>
          <w:rFonts w:ascii="Times New Roman" w:hAnsi="Times New Roman" w:cs="Times New Roman"/>
          <w:sz w:val="24"/>
          <w:szCs w:val="24"/>
        </w:rPr>
        <w:t>’s</w:t>
      </w:r>
      <w:r w:rsidR="00597088" w:rsidRPr="0042152F">
        <w:rPr>
          <w:rFonts w:ascii="Times New Roman" w:hAnsi="Times New Roman" w:cs="Times New Roman"/>
          <w:sz w:val="24"/>
          <w:szCs w:val="24"/>
        </w:rPr>
        <w:t xml:space="preserve"> </w:t>
      </w:r>
      <w:r w:rsidR="00032A73" w:rsidRPr="0042152F">
        <w:rPr>
          <w:rFonts w:ascii="Times New Roman" w:hAnsi="Times New Roman" w:cs="Times New Roman"/>
          <w:sz w:val="24"/>
          <w:szCs w:val="24"/>
        </w:rPr>
        <w:t>directors</w:t>
      </w:r>
      <w:r w:rsidR="00597088" w:rsidRPr="0042152F">
        <w:rPr>
          <w:rFonts w:ascii="Times New Roman" w:hAnsi="Times New Roman" w:cs="Times New Roman"/>
          <w:sz w:val="24"/>
          <w:szCs w:val="24"/>
        </w:rPr>
        <w:t xml:space="preserve"> breached </w:t>
      </w:r>
      <w:r w:rsidR="00032A73" w:rsidRPr="0042152F">
        <w:rPr>
          <w:rFonts w:ascii="Times New Roman" w:hAnsi="Times New Roman" w:cs="Times New Roman"/>
          <w:sz w:val="24"/>
          <w:szCs w:val="24"/>
        </w:rPr>
        <w:t>their</w:t>
      </w:r>
      <w:r w:rsidR="00597088" w:rsidRPr="0042152F">
        <w:rPr>
          <w:rFonts w:ascii="Times New Roman" w:hAnsi="Times New Roman" w:cs="Times New Roman"/>
          <w:sz w:val="24"/>
          <w:szCs w:val="24"/>
        </w:rPr>
        <w:t xml:space="preserve"> fiduciary dut</w:t>
      </w:r>
      <w:r w:rsidR="00032A73" w:rsidRPr="0042152F">
        <w:rPr>
          <w:rFonts w:ascii="Times New Roman" w:hAnsi="Times New Roman" w:cs="Times New Roman"/>
          <w:sz w:val="24"/>
          <w:szCs w:val="24"/>
        </w:rPr>
        <w:t>ies</w:t>
      </w:r>
      <w:r w:rsidR="00597088" w:rsidRPr="0042152F">
        <w:rPr>
          <w:rFonts w:ascii="Times New Roman" w:hAnsi="Times New Roman" w:cs="Times New Roman"/>
          <w:sz w:val="24"/>
          <w:szCs w:val="24"/>
        </w:rPr>
        <w:t xml:space="preserve"> by awarding Musk</w:t>
      </w:r>
      <w:r w:rsidR="00973A1D" w:rsidRPr="0042152F">
        <w:rPr>
          <w:rFonts w:ascii="Times New Roman" w:hAnsi="Times New Roman" w:cs="Times New Roman"/>
          <w:sz w:val="24"/>
          <w:szCs w:val="24"/>
        </w:rPr>
        <w:t xml:space="preserve"> excessive </w:t>
      </w:r>
      <w:r w:rsidR="00597088" w:rsidRPr="0042152F">
        <w:rPr>
          <w:rFonts w:ascii="Times New Roman" w:hAnsi="Times New Roman" w:cs="Times New Roman"/>
          <w:sz w:val="24"/>
          <w:szCs w:val="24"/>
        </w:rPr>
        <w:t>compensation.</w:t>
      </w:r>
      <w:r w:rsidR="00597088" w:rsidRPr="0042152F">
        <w:rPr>
          <w:rStyle w:val="FootnoteReference"/>
          <w:rFonts w:ascii="Times New Roman" w:hAnsi="Times New Roman" w:cs="Times New Roman"/>
          <w:sz w:val="24"/>
          <w:szCs w:val="24"/>
        </w:rPr>
        <w:footnoteReference w:id="16"/>
      </w:r>
      <w:r w:rsidR="0005662A" w:rsidRPr="0042152F">
        <w:rPr>
          <w:rFonts w:ascii="Times New Roman" w:hAnsi="Times New Roman" w:cs="Times New Roman"/>
          <w:sz w:val="24"/>
          <w:szCs w:val="24"/>
        </w:rPr>
        <w:t xml:space="preserve"> </w:t>
      </w:r>
      <w:r w:rsidR="00C77F1D" w:rsidRPr="0042152F">
        <w:rPr>
          <w:rFonts w:ascii="Times New Roman" w:hAnsi="Times New Roman" w:cs="Times New Roman"/>
          <w:sz w:val="24"/>
          <w:szCs w:val="24"/>
        </w:rPr>
        <w:t xml:space="preserve">Under Delaware corporate law, shareholders can challenge </w:t>
      </w:r>
      <w:r w:rsidR="00DB54F2">
        <w:rPr>
          <w:rFonts w:ascii="Times New Roman" w:hAnsi="Times New Roman" w:cs="Times New Roman"/>
          <w:sz w:val="24"/>
          <w:szCs w:val="24"/>
        </w:rPr>
        <w:t>controller</w:t>
      </w:r>
      <w:r w:rsidR="006867E1" w:rsidRPr="0042152F">
        <w:rPr>
          <w:rFonts w:ascii="Times New Roman" w:hAnsi="Times New Roman" w:cs="Times New Roman"/>
          <w:sz w:val="24"/>
          <w:szCs w:val="24"/>
        </w:rPr>
        <w:t xml:space="preserve"> transactions</w:t>
      </w:r>
      <w:r w:rsidR="00C77F1D" w:rsidRPr="0042152F">
        <w:rPr>
          <w:rFonts w:ascii="Times New Roman" w:hAnsi="Times New Roman" w:cs="Times New Roman"/>
          <w:sz w:val="24"/>
          <w:szCs w:val="24"/>
        </w:rPr>
        <w:t xml:space="preserve"> and secure judicial review of the transaction’s fairness.</w:t>
      </w:r>
      <w:r w:rsidR="00251BAA" w:rsidRPr="0042152F">
        <w:rPr>
          <w:rStyle w:val="FootnoteReference"/>
          <w:rFonts w:ascii="Times New Roman" w:hAnsi="Times New Roman" w:cs="Times New Roman"/>
          <w:sz w:val="24"/>
          <w:szCs w:val="24"/>
        </w:rPr>
        <w:footnoteReference w:id="17"/>
      </w:r>
      <w:r w:rsidR="00C77F1D" w:rsidRPr="0042152F">
        <w:rPr>
          <w:rFonts w:ascii="Times New Roman" w:hAnsi="Times New Roman" w:cs="Times New Roman"/>
          <w:sz w:val="24"/>
          <w:szCs w:val="24"/>
        </w:rPr>
        <w:t xml:space="preserve"> </w:t>
      </w:r>
      <w:r w:rsidR="00C17134" w:rsidRPr="0042152F">
        <w:rPr>
          <w:rFonts w:ascii="Times New Roman" w:hAnsi="Times New Roman" w:cs="Times New Roman"/>
          <w:sz w:val="24"/>
          <w:szCs w:val="24"/>
        </w:rPr>
        <w:t>A</w:t>
      </w:r>
      <w:r w:rsidR="00647DB2" w:rsidRPr="0042152F">
        <w:rPr>
          <w:rFonts w:ascii="Times New Roman" w:hAnsi="Times New Roman" w:cs="Times New Roman"/>
          <w:sz w:val="24"/>
          <w:szCs w:val="24"/>
        </w:rPr>
        <w:t xml:space="preserve">ccordingly, </w:t>
      </w:r>
      <w:r w:rsidR="00E01048" w:rsidRPr="0042152F">
        <w:rPr>
          <w:rFonts w:ascii="Times New Roman" w:hAnsi="Times New Roman" w:cs="Times New Roman"/>
          <w:sz w:val="24"/>
          <w:szCs w:val="24"/>
        </w:rPr>
        <w:t xml:space="preserve">the </w:t>
      </w:r>
      <w:r w:rsidR="00E01048" w:rsidRPr="0042152F">
        <w:rPr>
          <w:rFonts w:ascii="Times New Roman" w:hAnsi="Times New Roman" w:cs="Times New Roman"/>
          <w:i/>
          <w:iCs/>
          <w:sz w:val="24"/>
          <w:szCs w:val="24"/>
        </w:rPr>
        <w:t xml:space="preserve">Tornetta </w:t>
      </w:r>
      <w:r w:rsidR="00597088" w:rsidRPr="0042152F">
        <w:rPr>
          <w:rFonts w:ascii="Times New Roman" w:hAnsi="Times New Roman" w:cs="Times New Roman"/>
          <w:sz w:val="24"/>
          <w:szCs w:val="24"/>
        </w:rPr>
        <w:t>court ha</w:t>
      </w:r>
      <w:r w:rsidR="003848B8" w:rsidRPr="0042152F">
        <w:rPr>
          <w:rFonts w:ascii="Times New Roman" w:hAnsi="Times New Roman" w:cs="Times New Roman"/>
          <w:sz w:val="24"/>
          <w:szCs w:val="24"/>
        </w:rPr>
        <w:t>d</w:t>
      </w:r>
      <w:r w:rsidR="00597088" w:rsidRPr="0042152F">
        <w:rPr>
          <w:rFonts w:ascii="Times New Roman" w:hAnsi="Times New Roman" w:cs="Times New Roman"/>
          <w:sz w:val="24"/>
          <w:szCs w:val="24"/>
        </w:rPr>
        <w:t xml:space="preserve"> to </w:t>
      </w:r>
      <w:r w:rsidR="00E36EE0" w:rsidRPr="0042152F">
        <w:rPr>
          <w:rFonts w:ascii="Times New Roman" w:hAnsi="Times New Roman" w:cs="Times New Roman"/>
          <w:sz w:val="24"/>
          <w:szCs w:val="24"/>
        </w:rPr>
        <w:t xml:space="preserve">evaluate </w:t>
      </w:r>
      <w:r w:rsidR="00C77F1D" w:rsidRPr="0042152F">
        <w:rPr>
          <w:rFonts w:ascii="Times New Roman" w:hAnsi="Times New Roman" w:cs="Times New Roman"/>
          <w:sz w:val="24"/>
          <w:szCs w:val="24"/>
        </w:rPr>
        <w:t>whether Tesla paid a fair price when it compensated</w:t>
      </w:r>
      <w:r w:rsidR="009136EC" w:rsidRPr="0042152F">
        <w:rPr>
          <w:rFonts w:ascii="Times New Roman" w:hAnsi="Times New Roman" w:cs="Times New Roman"/>
          <w:sz w:val="24"/>
          <w:szCs w:val="24"/>
        </w:rPr>
        <w:t xml:space="preserve"> </w:t>
      </w:r>
      <w:r w:rsidR="00C77F1D" w:rsidRPr="0042152F">
        <w:rPr>
          <w:rFonts w:ascii="Times New Roman" w:hAnsi="Times New Roman" w:cs="Times New Roman"/>
          <w:sz w:val="24"/>
          <w:szCs w:val="24"/>
        </w:rPr>
        <w:t>Musk in</w:t>
      </w:r>
      <w:r w:rsidR="009136EC" w:rsidRPr="0042152F">
        <w:rPr>
          <w:rFonts w:ascii="Times New Roman" w:hAnsi="Times New Roman" w:cs="Times New Roman"/>
          <w:sz w:val="24"/>
          <w:szCs w:val="24"/>
        </w:rPr>
        <w:t xml:space="preserve"> January 2018. But how can a court determine the fair value of Elon </w:t>
      </w:r>
      <w:r w:rsidR="00C77F1D" w:rsidRPr="0042152F">
        <w:rPr>
          <w:rFonts w:ascii="Times New Roman" w:hAnsi="Times New Roman" w:cs="Times New Roman"/>
          <w:sz w:val="24"/>
          <w:szCs w:val="24"/>
        </w:rPr>
        <w:t xml:space="preserve">Musk’s </w:t>
      </w:r>
      <w:r w:rsidR="009136EC" w:rsidRPr="0042152F">
        <w:rPr>
          <w:rFonts w:ascii="Times New Roman" w:hAnsi="Times New Roman" w:cs="Times New Roman"/>
          <w:sz w:val="24"/>
          <w:szCs w:val="24"/>
        </w:rPr>
        <w:t>leadership at Tesla?</w:t>
      </w:r>
      <w:r w:rsidR="00E31C53" w:rsidRPr="0042152F">
        <w:rPr>
          <w:rStyle w:val="FootnoteReference"/>
          <w:rFonts w:ascii="Times New Roman" w:hAnsi="Times New Roman" w:cs="Times New Roman"/>
          <w:sz w:val="24"/>
          <w:szCs w:val="24"/>
        </w:rPr>
        <w:footnoteReference w:id="18"/>
      </w:r>
      <w:r w:rsidR="009313ED">
        <w:rPr>
          <w:rFonts w:ascii="Times New Roman" w:hAnsi="Times New Roman" w:cs="Times New Roman"/>
          <w:sz w:val="24"/>
          <w:szCs w:val="24"/>
        </w:rPr>
        <w:t xml:space="preserve"> </w:t>
      </w:r>
    </w:p>
    <w:p w14:paraId="2C4ED962" w14:textId="0A9B3DCC" w:rsidR="0018547C" w:rsidRDefault="00A110FD"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Musk is </w:t>
      </w:r>
      <w:r w:rsidR="00820DC8">
        <w:rPr>
          <w:rFonts w:ascii="Times New Roman" w:hAnsi="Times New Roman" w:cs="Times New Roman"/>
          <w:sz w:val="24"/>
          <w:szCs w:val="24"/>
        </w:rPr>
        <w:t>a controversial figure</w:t>
      </w:r>
      <w:r w:rsidR="003C6289">
        <w:rPr>
          <w:rFonts w:ascii="Times New Roman" w:hAnsi="Times New Roman" w:cs="Times New Roman"/>
          <w:sz w:val="24"/>
          <w:szCs w:val="24"/>
        </w:rPr>
        <w:t xml:space="preserve">, and we make no judgment about his </w:t>
      </w:r>
      <w:r>
        <w:rPr>
          <w:rFonts w:ascii="Times New Roman" w:hAnsi="Times New Roman" w:cs="Times New Roman"/>
          <w:sz w:val="24"/>
          <w:szCs w:val="24"/>
        </w:rPr>
        <w:t>personal and leadership qualities</w:t>
      </w:r>
      <w:r w:rsidR="0008226E">
        <w:rPr>
          <w:rFonts w:ascii="Times New Roman" w:hAnsi="Times New Roman" w:cs="Times New Roman"/>
          <w:sz w:val="24"/>
          <w:szCs w:val="24"/>
        </w:rPr>
        <w:t>.</w:t>
      </w:r>
      <w:r>
        <w:rPr>
          <w:rFonts w:ascii="Times New Roman" w:hAnsi="Times New Roman" w:cs="Times New Roman"/>
          <w:sz w:val="24"/>
          <w:szCs w:val="24"/>
        </w:rPr>
        <w:t xml:space="preserve"> </w:t>
      </w:r>
      <w:r w:rsidR="0077067B">
        <w:rPr>
          <w:rFonts w:ascii="Times New Roman" w:hAnsi="Times New Roman" w:cs="Times New Roman"/>
          <w:sz w:val="24"/>
          <w:szCs w:val="24"/>
        </w:rPr>
        <w:t>In this Article</w:t>
      </w:r>
      <w:r w:rsidR="00A80501">
        <w:rPr>
          <w:rFonts w:ascii="Times New Roman" w:hAnsi="Times New Roman" w:cs="Times New Roman"/>
          <w:sz w:val="24"/>
          <w:szCs w:val="24"/>
        </w:rPr>
        <w:t xml:space="preserve">, however, </w:t>
      </w:r>
      <w:r w:rsidR="0077067B">
        <w:rPr>
          <w:rFonts w:ascii="Times New Roman" w:hAnsi="Times New Roman" w:cs="Times New Roman"/>
          <w:sz w:val="24"/>
          <w:szCs w:val="24"/>
        </w:rPr>
        <w:t>we use</w:t>
      </w:r>
      <w:r w:rsidR="00DB415F">
        <w:rPr>
          <w:rFonts w:ascii="Times New Roman" w:hAnsi="Times New Roman" w:cs="Times New Roman"/>
          <w:sz w:val="24"/>
          <w:szCs w:val="24"/>
        </w:rPr>
        <w:t xml:space="preserve"> </w:t>
      </w:r>
      <w:r w:rsidR="00DB415F">
        <w:rPr>
          <w:rFonts w:ascii="Times New Roman" w:hAnsi="Times New Roman" w:cs="Times New Roman"/>
          <w:i/>
          <w:iCs/>
          <w:sz w:val="24"/>
          <w:szCs w:val="24"/>
        </w:rPr>
        <w:t>Tornetta</w:t>
      </w:r>
      <w:r w:rsidR="0077067B">
        <w:rPr>
          <w:rFonts w:ascii="Times New Roman" w:hAnsi="Times New Roman" w:cs="Times New Roman"/>
          <w:sz w:val="24"/>
          <w:szCs w:val="24"/>
        </w:rPr>
        <w:t xml:space="preserve"> to </w:t>
      </w:r>
      <w:r w:rsidR="0077067B" w:rsidRPr="0042152F">
        <w:rPr>
          <w:rFonts w:ascii="Times New Roman" w:hAnsi="Times New Roman" w:cs="Times New Roman"/>
          <w:sz w:val="24"/>
          <w:szCs w:val="24"/>
        </w:rPr>
        <w:t>identif</w:t>
      </w:r>
      <w:r w:rsidR="003C6289">
        <w:rPr>
          <w:rFonts w:ascii="Times New Roman" w:hAnsi="Times New Roman" w:cs="Times New Roman"/>
          <w:sz w:val="24"/>
          <w:szCs w:val="24"/>
        </w:rPr>
        <w:t>y</w:t>
      </w:r>
      <w:r w:rsidR="0077067B" w:rsidRPr="0042152F">
        <w:rPr>
          <w:rFonts w:ascii="Times New Roman" w:hAnsi="Times New Roman" w:cs="Times New Roman"/>
          <w:sz w:val="24"/>
          <w:szCs w:val="24"/>
        </w:rPr>
        <w:t xml:space="preserve"> </w:t>
      </w:r>
      <w:r w:rsidR="0005662A" w:rsidRPr="0042152F">
        <w:rPr>
          <w:rFonts w:ascii="Times New Roman" w:hAnsi="Times New Roman" w:cs="Times New Roman"/>
          <w:sz w:val="24"/>
          <w:szCs w:val="24"/>
        </w:rPr>
        <w:t>major flaw</w:t>
      </w:r>
      <w:r w:rsidR="00322AEB">
        <w:rPr>
          <w:rFonts w:ascii="Times New Roman" w:hAnsi="Times New Roman" w:cs="Times New Roman"/>
          <w:sz w:val="24"/>
          <w:szCs w:val="24"/>
        </w:rPr>
        <w:t>s</w:t>
      </w:r>
      <w:r w:rsidR="0005662A" w:rsidRPr="0042152F">
        <w:rPr>
          <w:rFonts w:ascii="Times New Roman" w:hAnsi="Times New Roman" w:cs="Times New Roman"/>
          <w:sz w:val="24"/>
          <w:szCs w:val="24"/>
        </w:rPr>
        <w:t xml:space="preserve"> in Delaware’s regulation of controller self-dealing transactions</w:t>
      </w:r>
      <w:r w:rsidR="007E3A84">
        <w:rPr>
          <w:rFonts w:ascii="Times New Roman" w:hAnsi="Times New Roman" w:cs="Times New Roman"/>
          <w:sz w:val="24"/>
          <w:szCs w:val="24"/>
        </w:rPr>
        <w:t>. These flaws</w:t>
      </w:r>
      <w:r w:rsidR="00322AEB">
        <w:rPr>
          <w:rFonts w:ascii="Times New Roman" w:hAnsi="Times New Roman" w:cs="Times New Roman"/>
          <w:sz w:val="24"/>
          <w:szCs w:val="24"/>
        </w:rPr>
        <w:t xml:space="preserve">, </w:t>
      </w:r>
      <w:r w:rsidR="007E3A84">
        <w:rPr>
          <w:rFonts w:ascii="Times New Roman" w:hAnsi="Times New Roman" w:cs="Times New Roman"/>
          <w:sz w:val="24"/>
          <w:szCs w:val="24"/>
        </w:rPr>
        <w:t xml:space="preserve">we argue, </w:t>
      </w:r>
      <w:r w:rsidR="005438E6">
        <w:rPr>
          <w:rFonts w:ascii="Times New Roman" w:hAnsi="Times New Roman" w:cs="Times New Roman"/>
          <w:sz w:val="24"/>
          <w:szCs w:val="24"/>
        </w:rPr>
        <w:t>undermine the regulatio</w:t>
      </w:r>
      <w:r w:rsidR="00190FD8">
        <w:rPr>
          <w:rFonts w:ascii="Times New Roman" w:hAnsi="Times New Roman" w:cs="Times New Roman"/>
          <w:sz w:val="24"/>
          <w:szCs w:val="24"/>
        </w:rPr>
        <w:t>n</w:t>
      </w:r>
      <w:r w:rsidR="005438E6">
        <w:rPr>
          <w:rFonts w:ascii="Times New Roman" w:hAnsi="Times New Roman" w:cs="Times New Roman"/>
          <w:sz w:val="24"/>
          <w:szCs w:val="24"/>
        </w:rPr>
        <w:t xml:space="preserve"> of self-dealing transactions that require courts to determine </w:t>
      </w:r>
      <w:r w:rsidR="00263770">
        <w:rPr>
          <w:rFonts w:ascii="Times New Roman" w:hAnsi="Times New Roman" w:cs="Times New Roman"/>
          <w:sz w:val="24"/>
          <w:szCs w:val="24"/>
        </w:rPr>
        <w:t>the value of</w:t>
      </w:r>
      <w:r w:rsidR="00DB415F">
        <w:rPr>
          <w:rFonts w:ascii="Times New Roman" w:hAnsi="Times New Roman" w:cs="Times New Roman"/>
          <w:sz w:val="24"/>
          <w:szCs w:val="24"/>
          <w:lang w:bidi="he-IL"/>
        </w:rPr>
        <w:t xml:space="preserve"> </w:t>
      </w:r>
      <w:r w:rsidR="00190FD8">
        <w:rPr>
          <w:rFonts w:ascii="Times New Roman" w:hAnsi="Times New Roman" w:cs="Times New Roman"/>
          <w:sz w:val="24"/>
          <w:szCs w:val="24"/>
          <w:lang w:bidi="he-IL"/>
        </w:rPr>
        <w:t xml:space="preserve">a </w:t>
      </w:r>
      <w:r w:rsidR="00DB415F">
        <w:rPr>
          <w:rFonts w:ascii="Times New Roman" w:hAnsi="Times New Roman" w:cs="Times New Roman"/>
          <w:sz w:val="24"/>
          <w:szCs w:val="24"/>
          <w:lang w:bidi="he-IL"/>
        </w:rPr>
        <w:t>controller</w:t>
      </w:r>
      <w:r w:rsidR="00263770">
        <w:rPr>
          <w:rFonts w:ascii="Times New Roman" w:hAnsi="Times New Roman" w:cs="Times New Roman"/>
          <w:sz w:val="24"/>
          <w:szCs w:val="24"/>
          <w:lang w:bidi="he-IL"/>
        </w:rPr>
        <w:t>’s</w:t>
      </w:r>
      <w:r w:rsidR="00DB415F">
        <w:rPr>
          <w:rFonts w:ascii="Times New Roman" w:hAnsi="Times New Roman" w:cs="Times New Roman"/>
          <w:sz w:val="24"/>
          <w:szCs w:val="24"/>
          <w:lang w:bidi="he-IL"/>
        </w:rPr>
        <w:t xml:space="preserve"> entrepreneurial vision for the company</w:t>
      </w:r>
      <w:r w:rsidR="0005662A" w:rsidRPr="0042152F">
        <w:rPr>
          <w:rFonts w:ascii="Times New Roman" w:hAnsi="Times New Roman" w:cs="Times New Roman"/>
          <w:sz w:val="24"/>
          <w:szCs w:val="24"/>
        </w:rPr>
        <w:t xml:space="preserve">. </w:t>
      </w:r>
      <w:r w:rsidR="006867E1" w:rsidRPr="0042152F">
        <w:rPr>
          <w:rFonts w:ascii="Times New Roman" w:hAnsi="Times New Roman" w:cs="Times New Roman"/>
          <w:sz w:val="24"/>
          <w:szCs w:val="24"/>
        </w:rPr>
        <w:t>We demonstrate</w:t>
      </w:r>
      <w:r w:rsidR="0082211F" w:rsidRPr="0042152F">
        <w:rPr>
          <w:rFonts w:ascii="Times New Roman" w:hAnsi="Times New Roman" w:cs="Times New Roman"/>
          <w:sz w:val="24"/>
          <w:szCs w:val="24"/>
        </w:rPr>
        <w:t xml:space="preserve"> </w:t>
      </w:r>
      <w:r w:rsidR="00EA35F8" w:rsidRPr="0042152F">
        <w:rPr>
          <w:rFonts w:ascii="Times New Roman" w:hAnsi="Times New Roman" w:cs="Times New Roman"/>
          <w:sz w:val="24"/>
          <w:szCs w:val="24"/>
        </w:rPr>
        <w:t>that t</w:t>
      </w:r>
      <w:r w:rsidR="00B967E7" w:rsidRPr="0042152F">
        <w:rPr>
          <w:rFonts w:ascii="Times New Roman" w:hAnsi="Times New Roman" w:cs="Times New Roman"/>
          <w:sz w:val="24"/>
          <w:szCs w:val="24"/>
        </w:rPr>
        <w:t>here is no</w:t>
      </w:r>
      <w:r w:rsidR="00B06B61" w:rsidRPr="0042152F">
        <w:rPr>
          <w:rFonts w:ascii="Times New Roman" w:hAnsi="Times New Roman" w:cs="Times New Roman"/>
          <w:sz w:val="24"/>
          <w:szCs w:val="24"/>
        </w:rPr>
        <w:t xml:space="preserve"> </w:t>
      </w:r>
      <w:r w:rsidR="00597088" w:rsidRPr="0042152F">
        <w:rPr>
          <w:rFonts w:ascii="Times New Roman" w:hAnsi="Times New Roman" w:cs="Times New Roman"/>
          <w:sz w:val="24"/>
          <w:szCs w:val="24"/>
        </w:rPr>
        <w:t xml:space="preserve">reliable </w:t>
      </w:r>
      <w:r w:rsidR="00973A1D" w:rsidRPr="0042152F">
        <w:rPr>
          <w:rFonts w:ascii="Times New Roman" w:hAnsi="Times New Roman" w:cs="Times New Roman"/>
          <w:sz w:val="24"/>
          <w:szCs w:val="24"/>
        </w:rPr>
        <w:t>way</w:t>
      </w:r>
      <w:r w:rsidR="00597088" w:rsidRPr="0042152F">
        <w:rPr>
          <w:rFonts w:ascii="Times New Roman" w:hAnsi="Times New Roman" w:cs="Times New Roman"/>
          <w:sz w:val="24"/>
          <w:szCs w:val="24"/>
        </w:rPr>
        <w:t xml:space="preserve"> to value an entrepreneur’s vision</w:t>
      </w:r>
      <w:r w:rsidR="00F1564B" w:rsidRPr="0042152F">
        <w:rPr>
          <w:rFonts w:ascii="Times New Roman" w:hAnsi="Times New Roman" w:cs="Times New Roman"/>
          <w:sz w:val="24"/>
          <w:szCs w:val="24"/>
        </w:rPr>
        <w:t xml:space="preserve"> or </w:t>
      </w:r>
      <w:r w:rsidR="00251BAA" w:rsidRPr="0042152F">
        <w:rPr>
          <w:rFonts w:ascii="Times New Roman" w:hAnsi="Times New Roman" w:cs="Times New Roman"/>
          <w:sz w:val="24"/>
          <w:szCs w:val="24"/>
        </w:rPr>
        <w:t xml:space="preserve">their </w:t>
      </w:r>
      <w:r w:rsidR="00F1564B" w:rsidRPr="0042152F">
        <w:rPr>
          <w:rFonts w:ascii="Times New Roman" w:hAnsi="Times New Roman" w:cs="Times New Roman"/>
          <w:sz w:val="24"/>
          <w:szCs w:val="24"/>
        </w:rPr>
        <w:t xml:space="preserve">contribution to </w:t>
      </w:r>
      <w:r w:rsidR="00E36EE0" w:rsidRPr="0042152F">
        <w:rPr>
          <w:rFonts w:ascii="Times New Roman" w:hAnsi="Times New Roman" w:cs="Times New Roman"/>
          <w:sz w:val="24"/>
          <w:szCs w:val="24"/>
        </w:rPr>
        <w:t>the company</w:t>
      </w:r>
      <w:r w:rsidR="00DB54F2">
        <w:rPr>
          <w:rFonts w:ascii="Times New Roman" w:hAnsi="Times New Roman" w:cs="Times New Roman"/>
          <w:sz w:val="24"/>
          <w:szCs w:val="24"/>
        </w:rPr>
        <w:t>; moreover,</w:t>
      </w:r>
      <w:r w:rsidR="00744A42">
        <w:rPr>
          <w:rFonts w:ascii="Times New Roman" w:hAnsi="Times New Roman" w:cs="Times New Roman"/>
          <w:sz w:val="24"/>
          <w:szCs w:val="24"/>
        </w:rPr>
        <w:t xml:space="preserve"> </w:t>
      </w:r>
      <w:r w:rsidR="00DB54F2">
        <w:rPr>
          <w:rFonts w:ascii="Times New Roman" w:hAnsi="Times New Roman" w:cs="Times New Roman"/>
          <w:sz w:val="24"/>
          <w:szCs w:val="24"/>
        </w:rPr>
        <w:t xml:space="preserve">we show that </w:t>
      </w:r>
      <w:r w:rsidR="001F0EB5">
        <w:rPr>
          <w:rFonts w:ascii="Times New Roman" w:hAnsi="Times New Roman" w:cs="Times New Roman"/>
          <w:sz w:val="24"/>
          <w:szCs w:val="24"/>
          <w:lang w:bidi="he-IL"/>
        </w:rPr>
        <w:t>the</w:t>
      </w:r>
      <w:r w:rsidR="001F0EB5">
        <w:rPr>
          <w:rFonts w:ascii="Times New Roman" w:hAnsi="Times New Roman" w:cs="Times New Roman"/>
          <w:sz w:val="24"/>
          <w:szCs w:val="24"/>
        </w:rPr>
        <w:t xml:space="preserve"> </w:t>
      </w:r>
      <w:r w:rsidR="00DB54F2">
        <w:rPr>
          <w:rFonts w:ascii="Times New Roman" w:hAnsi="Times New Roman" w:cs="Times New Roman"/>
          <w:sz w:val="24"/>
          <w:szCs w:val="24"/>
        </w:rPr>
        <w:t>absence of</w:t>
      </w:r>
      <w:r w:rsidR="0028256E">
        <w:rPr>
          <w:rFonts w:ascii="Times New Roman" w:hAnsi="Times New Roman" w:cs="Times New Roman"/>
          <w:sz w:val="24"/>
          <w:szCs w:val="24"/>
        </w:rPr>
        <w:t xml:space="preserve"> reliable valuation</w:t>
      </w:r>
      <w:r w:rsidR="00C03C36">
        <w:rPr>
          <w:rFonts w:ascii="Times New Roman" w:hAnsi="Times New Roman" w:cs="Times New Roman"/>
          <w:sz w:val="24"/>
          <w:szCs w:val="24"/>
        </w:rPr>
        <w:t xml:space="preserve"> </w:t>
      </w:r>
      <w:r w:rsidR="00DB54F2">
        <w:rPr>
          <w:rFonts w:ascii="Times New Roman" w:hAnsi="Times New Roman" w:cs="Times New Roman"/>
          <w:sz w:val="24"/>
          <w:szCs w:val="24"/>
        </w:rPr>
        <w:t xml:space="preserve">methods </w:t>
      </w:r>
      <w:r w:rsidR="002944F9" w:rsidRPr="0042152F">
        <w:rPr>
          <w:rFonts w:ascii="Times New Roman" w:hAnsi="Times New Roman" w:cs="Times New Roman"/>
          <w:sz w:val="24"/>
          <w:szCs w:val="24"/>
        </w:rPr>
        <w:t>undermines judicial review</w:t>
      </w:r>
      <w:r w:rsidR="00B217A8">
        <w:rPr>
          <w:rFonts w:ascii="Times New Roman" w:hAnsi="Times New Roman" w:cs="Times New Roman"/>
          <w:sz w:val="24"/>
          <w:szCs w:val="24"/>
        </w:rPr>
        <w:t xml:space="preserve"> of controlling shareholder transactions</w:t>
      </w:r>
      <w:r w:rsidR="005B5EE9">
        <w:rPr>
          <w:rFonts w:ascii="Times New Roman" w:hAnsi="Times New Roman" w:cs="Times New Roman"/>
          <w:sz w:val="24"/>
          <w:szCs w:val="24"/>
        </w:rPr>
        <w:t>.</w:t>
      </w:r>
    </w:p>
    <w:p w14:paraId="0F1480C3" w14:textId="323B105A" w:rsidR="00D56B53" w:rsidRPr="0042152F" w:rsidRDefault="00C03C36"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Two of us h</w:t>
      </w:r>
      <w:r w:rsidR="00D56B53" w:rsidRPr="0042152F">
        <w:rPr>
          <w:rFonts w:ascii="Times New Roman" w:hAnsi="Times New Roman" w:cs="Times New Roman"/>
          <w:sz w:val="24"/>
          <w:szCs w:val="24"/>
        </w:rPr>
        <w:t>ave described an entrepreneur</w:t>
      </w:r>
      <w:r w:rsidR="00022A2D">
        <w:rPr>
          <w:rFonts w:ascii="Times New Roman" w:hAnsi="Times New Roman" w:cs="Times New Roman"/>
          <w:sz w:val="24"/>
          <w:szCs w:val="24"/>
        </w:rPr>
        <w:t>’</w:t>
      </w:r>
      <w:r w:rsidR="00D56B53" w:rsidRPr="0042152F">
        <w:rPr>
          <w:rFonts w:ascii="Times New Roman" w:hAnsi="Times New Roman" w:cs="Times New Roman"/>
          <w:sz w:val="24"/>
          <w:szCs w:val="24"/>
        </w:rPr>
        <w:t xml:space="preserve">s unique idea or method of execution as their </w:t>
      </w:r>
      <w:r w:rsidR="00D56B53" w:rsidRPr="0042152F">
        <w:rPr>
          <w:rFonts w:ascii="Times New Roman" w:hAnsi="Times New Roman" w:cs="Times New Roman"/>
          <w:i/>
          <w:iCs/>
          <w:sz w:val="24"/>
          <w:szCs w:val="24"/>
        </w:rPr>
        <w:t>idiosyncratic vision</w:t>
      </w:r>
      <w:r w:rsidR="00D56B53" w:rsidRPr="0042152F">
        <w:rPr>
          <w:rFonts w:ascii="Times New Roman" w:hAnsi="Times New Roman" w:cs="Times New Roman"/>
          <w:sz w:val="24"/>
          <w:szCs w:val="24"/>
        </w:rPr>
        <w:t>.</w:t>
      </w:r>
      <w:r w:rsidR="00D56B53" w:rsidRPr="0042152F">
        <w:rPr>
          <w:rStyle w:val="FootnoteReference"/>
          <w:rFonts w:ascii="Times New Roman" w:hAnsi="Times New Roman" w:cs="Times New Roman"/>
          <w:sz w:val="24"/>
          <w:szCs w:val="24"/>
        </w:rPr>
        <w:footnoteReference w:id="19"/>
      </w:r>
      <w:r w:rsidR="00D56B53" w:rsidRPr="0042152F">
        <w:rPr>
          <w:rFonts w:ascii="Times New Roman" w:hAnsi="Times New Roman" w:cs="Times New Roman"/>
          <w:sz w:val="24"/>
          <w:szCs w:val="24"/>
        </w:rPr>
        <w:t xml:space="preserve"> A key aspect of idiosyncratic vision is that outsiders are often unable to observe or verify it.</w:t>
      </w:r>
      <w:r w:rsidR="00D56B53" w:rsidRPr="0042152F">
        <w:rPr>
          <w:rStyle w:val="FootnoteReference"/>
          <w:rFonts w:ascii="Times New Roman" w:hAnsi="Times New Roman" w:cs="Times New Roman"/>
          <w:sz w:val="24"/>
          <w:szCs w:val="24"/>
        </w:rPr>
        <w:footnoteReference w:id="20"/>
      </w:r>
      <w:r w:rsidR="00D56B53" w:rsidRPr="0042152F">
        <w:rPr>
          <w:rFonts w:ascii="Times New Roman" w:hAnsi="Times New Roman" w:cs="Times New Roman"/>
          <w:sz w:val="24"/>
          <w:szCs w:val="24"/>
        </w:rPr>
        <w:t xml:space="preserve"> Even with all relevant information, parties might reach different conclusions about the viability and value of the entrepreneur’s vision.</w:t>
      </w:r>
      <w:bookmarkStart w:id="1" w:name="_Ref184667849"/>
      <w:r w:rsidR="0054593B" w:rsidRPr="0042152F">
        <w:rPr>
          <w:rStyle w:val="FootnoteReference"/>
          <w:rFonts w:ascii="Times New Roman" w:hAnsi="Times New Roman" w:cs="Times New Roman"/>
          <w:sz w:val="24"/>
          <w:szCs w:val="24"/>
        </w:rPr>
        <w:footnoteReference w:id="21"/>
      </w:r>
      <w:bookmarkEnd w:id="1"/>
      <w:r w:rsidR="0054593B" w:rsidRPr="0042152F">
        <w:rPr>
          <w:rFonts w:ascii="Times New Roman" w:hAnsi="Times New Roman" w:cs="Times New Roman"/>
          <w:sz w:val="24"/>
          <w:szCs w:val="24"/>
        </w:rPr>
        <w:t xml:space="preserve">  </w:t>
      </w:r>
    </w:p>
    <w:p w14:paraId="1C8F8F5F" w14:textId="74B24035" w:rsidR="007911C4" w:rsidRDefault="00251BAA"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Unfortunately for entrepreneurs and investors (and courts asked to value vision), </w:t>
      </w:r>
      <w:r w:rsidR="00E36EE0" w:rsidRPr="0042152F">
        <w:rPr>
          <w:rFonts w:ascii="Times New Roman" w:hAnsi="Times New Roman" w:cs="Times New Roman"/>
          <w:sz w:val="24"/>
          <w:szCs w:val="24"/>
        </w:rPr>
        <w:t xml:space="preserve">there </w:t>
      </w:r>
      <w:r w:rsidR="00B06B61" w:rsidRPr="0042152F">
        <w:rPr>
          <w:rFonts w:ascii="Times New Roman" w:hAnsi="Times New Roman" w:cs="Times New Roman"/>
          <w:sz w:val="24"/>
          <w:szCs w:val="24"/>
        </w:rPr>
        <w:t xml:space="preserve">is no </w:t>
      </w:r>
      <w:r w:rsidR="00597088" w:rsidRPr="0042152F">
        <w:rPr>
          <w:rFonts w:ascii="Times New Roman" w:hAnsi="Times New Roman" w:cs="Times New Roman"/>
          <w:sz w:val="24"/>
          <w:szCs w:val="24"/>
        </w:rPr>
        <w:t>methodology to separate business ideas doomed to fail from successful, even revolutionary, ideas.</w:t>
      </w:r>
      <w:r w:rsidRPr="0042152F">
        <w:rPr>
          <w:rFonts w:ascii="Times New Roman" w:hAnsi="Times New Roman" w:cs="Times New Roman"/>
          <w:sz w:val="24"/>
          <w:szCs w:val="24"/>
        </w:rPr>
        <w:t xml:space="preserve"> </w:t>
      </w:r>
      <w:r w:rsidR="0013153A">
        <w:rPr>
          <w:rFonts w:ascii="Times New Roman" w:hAnsi="Times New Roman" w:cs="Times New Roman"/>
          <w:sz w:val="24"/>
          <w:szCs w:val="24"/>
        </w:rPr>
        <w:t>S</w:t>
      </w:r>
      <w:r w:rsidRPr="0042152F">
        <w:rPr>
          <w:rFonts w:ascii="Times New Roman" w:hAnsi="Times New Roman" w:cs="Times New Roman"/>
          <w:sz w:val="24"/>
          <w:szCs w:val="24"/>
        </w:rPr>
        <w:t xml:space="preserve">ome </w:t>
      </w:r>
      <w:r w:rsidR="00597088" w:rsidRPr="0042152F">
        <w:rPr>
          <w:rFonts w:ascii="Times New Roman" w:hAnsi="Times New Roman" w:cs="Times New Roman"/>
          <w:sz w:val="24"/>
          <w:szCs w:val="24"/>
        </w:rPr>
        <w:t>of the past century’s most transformative founders were dismissed before their ideas gained traction.</w:t>
      </w:r>
      <w:r w:rsidR="005B6D3F"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For example, </w:t>
      </w:r>
      <w:r w:rsidR="005B6D3F" w:rsidRPr="0042152F">
        <w:rPr>
          <w:rFonts w:ascii="Times New Roman" w:hAnsi="Times New Roman" w:cs="Times New Roman"/>
          <w:sz w:val="24"/>
          <w:szCs w:val="24"/>
        </w:rPr>
        <w:t xml:space="preserve">Fred Smith first conceived the idea to start FedEx in 1965 and </w:t>
      </w:r>
      <w:r w:rsidR="00C03C36">
        <w:rPr>
          <w:rFonts w:ascii="Times New Roman" w:hAnsi="Times New Roman" w:cs="Times New Roman"/>
          <w:sz w:val="24"/>
          <w:szCs w:val="24"/>
        </w:rPr>
        <w:t xml:space="preserve">while a student </w:t>
      </w:r>
      <w:r w:rsidR="005B6D3F" w:rsidRPr="0042152F">
        <w:rPr>
          <w:rFonts w:ascii="Times New Roman" w:hAnsi="Times New Roman" w:cs="Times New Roman"/>
          <w:sz w:val="24"/>
          <w:szCs w:val="24"/>
        </w:rPr>
        <w:t>wrote a paper laying out his vision to transform the shipping industry. Smith’s professor, however, did not share his vision and gave the paper a C.</w:t>
      </w:r>
      <w:r w:rsidR="005B6D3F" w:rsidRPr="0042152F">
        <w:rPr>
          <w:rFonts w:ascii="Times New Roman" w:hAnsi="Times New Roman" w:cs="Times New Roman"/>
          <w:sz w:val="24"/>
          <w:szCs w:val="24"/>
          <w:vertAlign w:val="superscript"/>
        </w:rPr>
        <w:footnoteReference w:id="22"/>
      </w:r>
      <w:r w:rsidR="005B6D3F" w:rsidRPr="0042152F">
        <w:rPr>
          <w:rFonts w:ascii="Times New Roman" w:hAnsi="Times New Roman" w:cs="Times New Roman"/>
          <w:sz w:val="24"/>
          <w:szCs w:val="24"/>
        </w:rPr>
        <w:t xml:space="preserve"> Howard Schultz’s idea to bring Italian-style coffee houses to the United States was rejected by over 217 investors before he was able to raise enough money to start the business</w:t>
      </w:r>
      <w:r w:rsidR="00DB415F">
        <w:rPr>
          <w:rFonts w:ascii="Times New Roman" w:hAnsi="Times New Roman" w:cs="Times New Roman"/>
          <w:sz w:val="24"/>
          <w:szCs w:val="24"/>
        </w:rPr>
        <w:t xml:space="preserve"> </w:t>
      </w:r>
      <w:r w:rsidR="005B6D3F" w:rsidRPr="0042152F">
        <w:rPr>
          <w:rFonts w:ascii="Times New Roman" w:hAnsi="Times New Roman" w:cs="Times New Roman"/>
          <w:sz w:val="24"/>
          <w:szCs w:val="24"/>
        </w:rPr>
        <w:t xml:space="preserve">which </w:t>
      </w:r>
      <w:r w:rsidR="00DB415F">
        <w:rPr>
          <w:rFonts w:ascii="Times New Roman" w:hAnsi="Times New Roman" w:cs="Times New Roman"/>
          <w:sz w:val="24"/>
          <w:szCs w:val="24"/>
        </w:rPr>
        <w:t>became</w:t>
      </w:r>
      <w:r w:rsidR="005B6D3F" w:rsidRPr="0042152F">
        <w:rPr>
          <w:rFonts w:ascii="Times New Roman" w:hAnsi="Times New Roman" w:cs="Times New Roman"/>
          <w:sz w:val="24"/>
          <w:szCs w:val="24"/>
        </w:rPr>
        <w:t xml:space="preserve"> Starbucks.</w:t>
      </w:r>
      <w:r w:rsidR="005B6D3F" w:rsidRPr="0042152F">
        <w:rPr>
          <w:rFonts w:ascii="Times New Roman" w:hAnsi="Times New Roman" w:cs="Times New Roman"/>
          <w:sz w:val="24"/>
          <w:szCs w:val="24"/>
          <w:vertAlign w:val="superscript"/>
        </w:rPr>
        <w:footnoteReference w:id="23"/>
      </w:r>
      <w:r w:rsidR="005B6D3F" w:rsidRPr="0042152F">
        <w:rPr>
          <w:rFonts w:ascii="Times New Roman" w:hAnsi="Times New Roman" w:cs="Times New Roman"/>
          <w:sz w:val="24"/>
          <w:szCs w:val="24"/>
        </w:rPr>
        <w:t xml:space="preserve"> Steve Wozniak offered his then-employer Hewlett Packard the Apple I PC.</w:t>
      </w:r>
      <w:r w:rsidR="005B6D3F" w:rsidRPr="0042152F">
        <w:rPr>
          <w:rFonts w:ascii="Times New Roman" w:hAnsi="Times New Roman" w:cs="Times New Roman"/>
          <w:sz w:val="24"/>
          <w:szCs w:val="24"/>
          <w:vertAlign w:val="superscript"/>
        </w:rPr>
        <w:footnoteReference w:id="24"/>
      </w:r>
      <w:r w:rsidR="005B6D3F" w:rsidRPr="0042152F">
        <w:rPr>
          <w:rFonts w:ascii="Times New Roman" w:hAnsi="Times New Roman" w:cs="Times New Roman"/>
          <w:sz w:val="24"/>
          <w:szCs w:val="24"/>
        </w:rPr>
        <w:t xml:space="preserve"> The company rejected the idea </w:t>
      </w:r>
      <w:r w:rsidR="004624ED" w:rsidRPr="0042152F">
        <w:rPr>
          <w:rFonts w:ascii="Times New Roman" w:hAnsi="Times New Roman" w:cs="Times New Roman"/>
          <w:sz w:val="24"/>
          <w:szCs w:val="24"/>
        </w:rPr>
        <w:t xml:space="preserve">again and again </w:t>
      </w:r>
      <w:r w:rsidR="005B6D3F" w:rsidRPr="0042152F">
        <w:rPr>
          <w:rFonts w:ascii="Times New Roman" w:hAnsi="Times New Roman" w:cs="Times New Roman"/>
          <w:sz w:val="24"/>
          <w:szCs w:val="24"/>
        </w:rPr>
        <w:t>until Wozniak struck out on his own to make the now best-selling computer.</w:t>
      </w:r>
      <w:r w:rsidR="005B6D3F" w:rsidRPr="0042152F">
        <w:rPr>
          <w:rFonts w:ascii="Times New Roman" w:hAnsi="Times New Roman" w:cs="Times New Roman"/>
          <w:sz w:val="24"/>
          <w:szCs w:val="24"/>
          <w:vertAlign w:val="superscript"/>
        </w:rPr>
        <w:footnoteReference w:id="25"/>
      </w:r>
      <w:r w:rsidR="005B6D3F" w:rsidRPr="0042152F">
        <w:rPr>
          <w:rFonts w:ascii="Times New Roman" w:hAnsi="Times New Roman" w:cs="Times New Roman"/>
          <w:sz w:val="24"/>
          <w:szCs w:val="24"/>
        </w:rPr>
        <w:t xml:space="preserve"> </w:t>
      </w:r>
      <w:r w:rsidR="007911C4">
        <w:rPr>
          <w:rFonts w:ascii="Times New Roman" w:hAnsi="Times New Roman" w:cs="Times New Roman"/>
          <w:sz w:val="24"/>
          <w:szCs w:val="24"/>
        </w:rPr>
        <w:t xml:space="preserve">Sarah Blakely spent two years developing a new style of hosiery after </w:t>
      </w:r>
      <w:r w:rsidR="00A05532">
        <w:rPr>
          <w:rFonts w:ascii="Times New Roman" w:hAnsi="Times New Roman" w:cs="Times New Roman"/>
          <w:sz w:val="24"/>
          <w:szCs w:val="24"/>
        </w:rPr>
        <w:t>selling fax machines</w:t>
      </w:r>
      <w:r w:rsidR="007911C4">
        <w:rPr>
          <w:rFonts w:ascii="Times New Roman" w:hAnsi="Times New Roman" w:cs="Times New Roman"/>
          <w:sz w:val="24"/>
          <w:szCs w:val="24"/>
        </w:rPr>
        <w:t xml:space="preserve"> through hot Florida summers in traditional pantyhose. She cold called hosiery mills for weeks only to be sent away by every representative. </w:t>
      </w:r>
      <w:r w:rsidR="00146BEE">
        <w:rPr>
          <w:rFonts w:ascii="Times New Roman" w:hAnsi="Times New Roman" w:cs="Times New Roman"/>
          <w:sz w:val="24"/>
          <w:szCs w:val="24"/>
        </w:rPr>
        <w:t>She eventually</w:t>
      </w:r>
      <w:r w:rsidR="007911C4">
        <w:rPr>
          <w:rFonts w:ascii="Times New Roman" w:hAnsi="Times New Roman" w:cs="Times New Roman"/>
          <w:sz w:val="24"/>
          <w:szCs w:val="24"/>
        </w:rPr>
        <w:t xml:space="preserve"> convinced </w:t>
      </w:r>
      <w:r w:rsidR="00A05532">
        <w:rPr>
          <w:rFonts w:ascii="Times New Roman" w:hAnsi="Times New Roman" w:cs="Times New Roman"/>
          <w:sz w:val="24"/>
          <w:szCs w:val="24"/>
        </w:rPr>
        <w:t>one mill</w:t>
      </w:r>
      <w:r w:rsidR="007911C4">
        <w:rPr>
          <w:rFonts w:ascii="Times New Roman" w:hAnsi="Times New Roman" w:cs="Times New Roman"/>
          <w:sz w:val="24"/>
          <w:szCs w:val="24"/>
        </w:rPr>
        <w:t xml:space="preserve"> manager to give her a shot developing “Spanx,” a company that is now worth over a billion dollars.</w:t>
      </w:r>
      <w:r w:rsidR="007911C4">
        <w:rPr>
          <w:rStyle w:val="FootnoteReference"/>
          <w:rFonts w:ascii="Times New Roman" w:hAnsi="Times New Roman" w:cs="Times New Roman"/>
          <w:sz w:val="24"/>
          <w:szCs w:val="24"/>
        </w:rPr>
        <w:footnoteReference w:id="26"/>
      </w:r>
      <w:r w:rsidR="00146BEE">
        <w:rPr>
          <w:rFonts w:ascii="Times New Roman" w:hAnsi="Times New Roman" w:cs="Times New Roman"/>
          <w:sz w:val="24"/>
          <w:szCs w:val="24"/>
        </w:rPr>
        <w:t xml:space="preserve"> </w:t>
      </w:r>
    </w:p>
    <w:p w14:paraId="0B5931B4" w14:textId="1721EAA6" w:rsidR="005B6D3F" w:rsidRPr="0042152F" w:rsidRDefault="005B6D3F"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Stories like this are as common as they are unsurprising: Not everyone will immediately see value in an entrepreneur’s vision. </w:t>
      </w:r>
      <w:r w:rsidR="00420968" w:rsidRPr="0042152F">
        <w:rPr>
          <w:rFonts w:ascii="Times New Roman" w:hAnsi="Times New Roman" w:cs="Times New Roman"/>
          <w:sz w:val="24"/>
          <w:szCs w:val="24"/>
        </w:rPr>
        <w:t>And as these examples suggest, the inability to accurately value transformative ideas can reduce social welfare, as pricing failures can hamper the idea’s execution, leading to the loss of value and social wealth.</w:t>
      </w:r>
      <w:r w:rsidR="00420968" w:rsidRPr="0042152F">
        <w:rPr>
          <w:rStyle w:val="FootnoteReference"/>
          <w:rFonts w:ascii="Times New Roman" w:hAnsi="Times New Roman" w:cs="Times New Roman"/>
          <w:sz w:val="24"/>
          <w:szCs w:val="24"/>
        </w:rPr>
        <w:footnoteReference w:id="27"/>
      </w:r>
      <w:r w:rsidR="00420968" w:rsidRPr="0042152F">
        <w:rPr>
          <w:rFonts w:ascii="Times New Roman" w:hAnsi="Times New Roman" w:cs="Times New Roman"/>
          <w:sz w:val="24"/>
          <w:szCs w:val="24"/>
        </w:rPr>
        <w:t xml:space="preserve"> </w:t>
      </w:r>
    </w:p>
    <w:p w14:paraId="3D6349A9" w14:textId="1A949F66" w:rsidR="00931D94" w:rsidRPr="0042152F" w:rsidRDefault="0054593B"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Our Article shows how this insight—that idiosyncratic vision cannot be reliably valued—throws a wrench into the mechanics of one of corporate law’s core standards of review—entire fairness.</w:t>
      </w:r>
      <w:r w:rsidR="00E95133" w:rsidRPr="0042152F">
        <w:rPr>
          <w:rStyle w:val="FootnoteReference"/>
          <w:rFonts w:ascii="Times New Roman" w:hAnsi="Times New Roman" w:cs="Times New Roman"/>
          <w:sz w:val="24"/>
          <w:szCs w:val="24"/>
        </w:rPr>
        <w:footnoteReference w:id="28"/>
      </w:r>
      <w:r w:rsidRPr="0042152F">
        <w:rPr>
          <w:rFonts w:ascii="Times New Roman" w:hAnsi="Times New Roman" w:cs="Times New Roman"/>
          <w:sz w:val="24"/>
          <w:szCs w:val="24"/>
        </w:rPr>
        <w:t xml:space="preserve"> </w:t>
      </w:r>
      <w:r w:rsidR="00200246">
        <w:rPr>
          <w:rFonts w:ascii="Times New Roman" w:hAnsi="Times New Roman" w:cs="Times New Roman"/>
          <w:sz w:val="24"/>
          <w:szCs w:val="24"/>
        </w:rPr>
        <w:t>When a</w:t>
      </w:r>
      <w:r w:rsidRPr="0042152F">
        <w:rPr>
          <w:rFonts w:ascii="Times New Roman" w:hAnsi="Times New Roman" w:cs="Times New Roman"/>
          <w:sz w:val="24"/>
          <w:szCs w:val="24"/>
        </w:rPr>
        <w:t xml:space="preserve"> controlling shareholder transacts with the company</w:t>
      </w:r>
      <w:r w:rsidR="00200246">
        <w:rPr>
          <w:rFonts w:ascii="Times New Roman" w:hAnsi="Times New Roman" w:cs="Times New Roman"/>
          <w:sz w:val="24"/>
          <w:szCs w:val="24"/>
        </w:rPr>
        <w:t>, that transaction may be subject to entire fairness review</w:t>
      </w:r>
      <w:r w:rsidRPr="0042152F">
        <w:rPr>
          <w:rFonts w:ascii="Times New Roman" w:hAnsi="Times New Roman" w:cs="Times New Roman"/>
          <w:sz w:val="24"/>
          <w:szCs w:val="24"/>
        </w:rPr>
        <w:t xml:space="preserve"> because of the pronounced conflict</w:t>
      </w:r>
      <w:r w:rsidR="00881B3D">
        <w:rPr>
          <w:rFonts w:ascii="Times New Roman" w:hAnsi="Times New Roman" w:cs="Times New Roman"/>
          <w:sz w:val="24"/>
          <w:szCs w:val="24"/>
        </w:rPr>
        <w:t xml:space="preserve"> of interest</w:t>
      </w:r>
      <w:r w:rsidRPr="0042152F">
        <w:rPr>
          <w:rFonts w:ascii="Times New Roman" w:hAnsi="Times New Roman" w:cs="Times New Roman"/>
          <w:sz w:val="24"/>
          <w:szCs w:val="24"/>
        </w:rPr>
        <w:t xml:space="preserve"> that </w:t>
      </w:r>
      <w:r w:rsidR="00C04F8D" w:rsidRPr="0042152F">
        <w:rPr>
          <w:rFonts w:ascii="Times New Roman" w:hAnsi="Times New Roman" w:cs="Times New Roman"/>
          <w:sz w:val="24"/>
          <w:szCs w:val="24"/>
        </w:rPr>
        <w:t xml:space="preserve">the </w:t>
      </w:r>
      <w:r w:rsidRPr="0042152F">
        <w:rPr>
          <w:rFonts w:ascii="Times New Roman" w:hAnsi="Times New Roman" w:cs="Times New Roman"/>
          <w:sz w:val="24"/>
          <w:szCs w:val="24"/>
        </w:rPr>
        <w:t xml:space="preserve">transaction </w:t>
      </w:r>
      <w:r w:rsidRPr="0042152F">
        <w:rPr>
          <w:rFonts w:ascii="Times New Roman" w:hAnsi="Times New Roman" w:cs="Times New Roman"/>
          <w:sz w:val="24"/>
          <w:szCs w:val="24"/>
        </w:rPr>
        <w:lastRenderedPageBreak/>
        <w:t>presents.</w:t>
      </w:r>
      <w:r w:rsidR="00E31DC9"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A core goal of corporate law is </w:t>
      </w:r>
      <w:r w:rsidR="00931D94" w:rsidRPr="0042152F">
        <w:rPr>
          <w:rFonts w:ascii="Times New Roman" w:hAnsi="Times New Roman" w:cs="Times New Roman"/>
          <w:sz w:val="24"/>
          <w:szCs w:val="24"/>
        </w:rPr>
        <w:t>ensuring</w:t>
      </w:r>
      <w:r w:rsidRPr="0042152F">
        <w:rPr>
          <w:rFonts w:ascii="Times New Roman" w:hAnsi="Times New Roman" w:cs="Times New Roman"/>
          <w:sz w:val="24"/>
          <w:szCs w:val="24"/>
        </w:rPr>
        <w:t xml:space="preserve"> that </w:t>
      </w:r>
      <w:r w:rsidR="00C04F8D" w:rsidRPr="0042152F">
        <w:rPr>
          <w:rFonts w:ascii="Times New Roman" w:hAnsi="Times New Roman" w:cs="Times New Roman"/>
          <w:sz w:val="24"/>
          <w:szCs w:val="24"/>
        </w:rPr>
        <w:t>controlling shareholders do not expropriate value from the minority shareholders when they transact with the company</w:t>
      </w:r>
      <w:r w:rsidRPr="0042152F">
        <w:rPr>
          <w:rFonts w:ascii="Times New Roman" w:hAnsi="Times New Roman" w:cs="Times New Roman"/>
          <w:sz w:val="24"/>
          <w:szCs w:val="24"/>
        </w:rPr>
        <w:t>.</w:t>
      </w:r>
      <w:r w:rsidR="00E31DC9" w:rsidRPr="0042152F">
        <w:rPr>
          <w:rStyle w:val="FootnoteReference"/>
          <w:rFonts w:ascii="Times New Roman" w:hAnsi="Times New Roman" w:cs="Times New Roman"/>
          <w:sz w:val="24"/>
          <w:szCs w:val="24"/>
        </w:rPr>
        <w:footnoteReference w:id="29"/>
      </w:r>
      <w:r w:rsidRPr="0042152F">
        <w:rPr>
          <w:rFonts w:ascii="Times New Roman" w:hAnsi="Times New Roman" w:cs="Times New Roman"/>
          <w:sz w:val="24"/>
          <w:szCs w:val="24"/>
        </w:rPr>
        <w:t xml:space="preserve"> </w:t>
      </w:r>
      <w:r w:rsidR="006C7843">
        <w:rPr>
          <w:rFonts w:ascii="Times New Roman" w:hAnsi="Times New Roman" w:cs="Times New Roman"/>
          <w:sz w:val="24"/>
          <w:szCs w:val="24"/>
        </w:rPr>
        <w:t>Thus</w:t>
      </w:r>
      <w:r w:rsidRPr="0042152F">
        <w:rPr>
          <w:rFonts w:ascii="Times New Roman" w:hAnsi="Times New Roman" w:cs="Times New Roman"/>
          <w:sz w:val="24"/>
          <w:szCs w:val="24"/>
        </w:rPr>
        <w:t xml:space="preserve">, Delaware courts entitle </w:t>
      </w:r>
      <w:r w:rsidR="00CA01A7" w:rsidRPr="0042152F">
        <w:rPr>
          <w:rFonts w:ascii="Times New Roman" w:hAnsi="Times New Roman" w:cs="Times New Roman"/>
          <w:sz w:val="24"/>
          <w:szCs w:val="24"/>
        </w:rPr>
        <w:t xml:space="preserve">minority </w:t>
      </w:r>
      <w:r w:rsidRPr="0042152F">
        <w:rPr>
          <w:rFonts w:ascii="Times New Roman" w:hAnsi="Times New Roman" w:cs="Times New Roman"/>
          <w:sz w:val="24"/>
          <w:szCs w:val="24"/>
        </w:rPr>
        <w:t xml:space="preserve">shareholders to </w:t>
      </w:r>
      <w:r w:rsidR="00CA01A7" w:rsidRPr="0042152F">
        <w:rPr>
          <w:rFonts w:ascii="Times New Roman" w:hAnsi="Times New Roman" w:cs="Times New Roman"/>
          <w:sz w:val="24"/>
          <w:szCs w:val="24"/>
        </w:rPr>
        <w:t xml:space="preserve">seek </w:t>
      </w:r>
      <w:r w:rsidRPr="0042152F">
        <w:rPr>
          <w:rFonts w:ascii="Times New Roman" w:hAnsi="Times New Roman" w:cs="Times New Roman"/>
          <w:sz w:val="24"/>
          <w:szCs w:val="24"/>
        </w:rPr>
        <w:t>judicial review of the</w:t>
      </w:r>
      <w:r w:rsidR="00C04F8D" w:rsidRPr="0042152F">
        <w:rPr>
          <w:rFonts w:ascii="Times New Roman" w:hAnsi="Times New Roman" w:cs="Times New Roman"/>
          <w:sz w:val="24"/>
          <w:szCs w:val="24"/>
        </w:rPr>
        <w:t xml:space="preserve"> </w:t>
      </w:r>
      <w:r w:rsidR="001F1247" w:rsidRPr="0042152F">
        <w:rPr>
          <w:rFonts w:ascii="Times New Roman" w:hAnsi="Times New Roman" w:cs="Times New Roman"/>
          <w:sz w:val="24"/>
          <w:szCs w:val="24"/>
        </w:rPr>
        <w:t>controller</w:t>
      </w:r>
      <w:r w:rsidR="00CA01A7" w:rsidRPr="0042152F">
        <w:rPr>
          <w:rFonts w:ascii="Times New Roman" w:hAnsi="Times New Roman" w:cs="Times New Roman"/>
          <w:sz w:val="24"/>
          <w:szCs w:val="24"/>
        </w:rPr>
        <w:t xml:space="preserve">’s self-dealing </w:t>
      </w:r>
      <w:r w:rsidR="00C04F8D" w:rsidRPr="0042152F">
        <w:rPr>
          <w:rFonts w:ascii="Times New Roman" w:hAnsi="Times New Roman" w:cs="Times New Roman"/>
          <w:sz w:val="24"/>
          <w:szCs w:val="24"/>
        </w:rPr>
        <w:t xml:space="preserve">transaction, which </w:t>
      </w:r>
      <w:r w:rsidR="00307ED0">
        <w:rPr>
          <w:rFonts w:ascii="Times New Roman" w:hAnsi="Times New Roman" w:cs="Times New Roman"/>
          <w:sz w:val="24"/>
          <w:szCs w:val="24"/>
        </w:rPr>
        <w:t xml:space="preserve">places the burden on the controller to </w:t>
      </w:r>
      <w:r w:rsidR="00CA01A7" w:rsidRPr="0042152F">
        <w:rPr>
          <w:rFonts w:ascii="Times New Roman" w:hAnsi="Times New Roman" w:cs="Times New Roman"/>
          <w:sz w:val="24"/>
          <w:szCs w:val="24"/>
        </w:rPr>
        <w:t>demonstrat</w:t>
      </w:r>
      <w:r w:rsidR="00307ED0">
        <w:rPr>
          <w:rFonts w:ascii="Times New Roman" w:hAnsi="Times New Roman" w:cs="Times New Roman"/>
          <w:sz w:val="24"/>
          <w:szCs w:val="24"/>
        </w:rPr>
        <w:t>e</w:t>
      </w:r>
      <w:r w:rsidR="00C04F8D" w:rsidRPr="0042152F">
        <w:rPr>
          <w:rFonts w:ascii="Times New Roman" w:hAnsi="Times New Roman" w:cs="Times New Roman"/>
          <w:sz w:val="24"/>
          <w:szCs w:val="24"/>
        </w:rPr>
        <w:t xml:space="preserve"> </w:t>
      </w:r>
      <w:r w:rsidR="00307ED0">
        <w:rPr>
          <w:rFonts w:ascii="Times New Roman" w:hAnsi="Times New Roman" w:cs="Times New Roman"/>
          <w:sz w:val="24"/>
          <w:szCs w:val="24"/>
        </w:rPr>
        <w:t>the fairness of the</w:t>
      </w:r>
      <w:r w:rsidR="00D417FB">
        <w:rPr>
          <w:rFonts w:ascii="Times New Roman" w:hAnsi="Times New Roman" w:cs="Times New Roman"/>
          <w:sz w:val="24"/>
          <w:szCs w:val="24"/>
        </w:rPr>
        <w:t xml:space="preserve"> </w:t>
      </w:r>
      <w:r w:rsidR="00307ED0">
        <w:rPr>
          <w:rFonts w:ascii="Times New Roman" w:hAnsi="Times New Roman" w:cs="Times New Roman"/>
          <w:sz w:val="24"/>
          <w:szCs w:val="24"/>
        </w:rPr>
        <w:t>transaction</w:t>
      </w:r>
      <w:r w:rsidR="00D417FB">
        <w:rPr>
          <w:rFonts w:ascii="Times New Roman" w:hAnsi="Times New Roman" w:cs="Times New Roman"/>
          <w:sz w:val="24"/>
          <w:szCs w:val="24"/>
        </w:rPr>
        <w:t>’s price, as well as the process that led to it</w:t>
      </w:r>
      <w:r w:rsidR="00307ED0">
        <w:rPr>
          <w:rFonts w:ascii="Times New Roman" w:hAnsi="Times New Roman" w:cs="Times New Roman"/>
          <w:sz w:val="24"/>
          <w:szCs w:val="24"/>
        </w:rPr>
        <w:t>.</w:t>
      </w:r>
      <w:r w:rsidR="00E31DC9" w:rsidRPr="0042152F">
        <w:rPr>
          <w:rStyle w:val="FootnoteReference"/>
          <w:rFonts w:ascii="Times New Roman" w:hAnsi="Times New Roman" w:cs="Times New Roman"/>
          <w:sz w:val="24"/>
          <w:szCs w:val="24"/>
        </w:rPr>
        <w:footnoteReference w:id="30"/>
      </w:r>
      <w:r w:rsidRPr="0042152F">
        <w:rPr>
          <w:rFonts w:ascii="Times New Roman" w:hAnsi="Times New Roman" w:cs="Times New Roman"/>
          <w:sz w:val="24"/>
          <w:szCs w:val="24"/>
        </w:rPr>
        <w:t xml:space="preserve"> </w:t>
      </w:r>
      <w:r w:rsidR="00200246">
        <w:rPr>
          <w:rFonts w:ascii="Times New Roman" w:hAnsi="Times New Roman" w:cs="Times New Roman"/>
          <w:sz w:val="24"/>
          <w:szCs w:val="24"/>
        </w:rPr>
        <w:t>In theory, e</w:t>
      </w:r>
      <w:r w:rsidR="00200246" w:rsidRPr="0042152F">
        <w:rPr>
          <w:rFonts w:ascii="Times New Roman" w:hAnsi="Times New Roman" w:cs="Times New Roman"/>
          <w:sz w:val="24"/>
          <w:szCs w:val="24"/>
        </w:rPr>
        <w:t xml:space="preserve">ntire </w:t>
      </w:r>
      <w:r w:rsidR="00CE4890" w:rsidRPr="0042152F">
        <w:rPr>
          <w:rFonts w:ascii="Times New Roman" w:hAnsi="Times New Roman" w:cs="Times New Roman"/>
          <w:sz w:val="24"/>
          <w:szCs w:val="24"/>
        </w:rPr>
        <w:t xml:space="preserve">fairness review </w:t>
      </w:r>
      <w:r w:rsidR="00200246">
        <w:rPr>
          <w:rFonts w:ascii="Times New Roman" w:hAnsi="Times New Roman" w:cs="Times New Roman"/>
          <w:sz w:val="24"/>
          <w:szCs w:val="24"/>
        </w:rPr>
        <w:t>allows</w:t>
      </w:r>
      <w:r w:rsidR="00CA01A7" w:rsidRPr="0042152F">
        <w:rPr>
          <w:rFonts w:ascii="Times New Roman" w:hAnsi="Times New Roman" w:cs="Times New Roman"/>
          <w:sz w:val="24"/>
          <w:szCs w:val="24"/>
        </w:rPr>
        <w:t xml:space="preserve"> courts to distinguish between fair transactions that benefit the company and </w:t>
      </w:r>
      <w:r w:rsidR="00200246">
        <w:rPr>
          <w:rFonts w:ascii="Times New Roman" w:hAnsi="Times New Roman" w:cs="Times New Roman"/>
          <w:sz w:val="24"/>
          <w:szCs w:val="24"/>
        </w:rPr>
        <w:t xml:space="preserve">those that are the product of </w:t>
      </w:r>
      <w:r w:rsidR="00CA01A7" w:rsidRPr="0042152F">
        <w:rPr>
          <w:rFonts w:ascii="Times New Roman" w:hAnsi="Times New Roman" w:cs="Times New Roman"/>
          <w:sz w:val="24"/>
          <w:szCs w:val="24"/>
        </w:rPr>
        <w:t>value-reducing self-dealing.</w:t>
      </w:r>
    </w:p>
    <w:p w14:paraId="73F7BC7D" w14:textId="07C5FFE7" w:rsidR="00E14940" w:rsidRPr="0042152F" w:rsidRDefault="00E14940"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Entire fairness review is fundamentally reliant upon the competence of courts to </w:t>
      </w:r>
      <w:r>
        <w:rPr>
          <w:rFonts w:ascii="Times New Roman" w:hAnsi="Times New Roman" w:cs="Times New Roman"/>
          <w:sz w:val="24"/>
          <w:szCs w:val="24"/>
        </w:rPr>
        <w:t xml:space="preserve">determine </w:t>
      </w:r>
      <w:r w:rsidRPr="0042152F">
        <w:rPr>
          <w:rFonts w:ascii="Times New Roman" w:hAnsi="Times New Roman" w:cs="Times New Roman"/>
          <w:sz w:val="24"/>
          <w:szCs w:val="24"/>
        </w:rPr>
        <w:t>the disputed transaction</w:t>
      </w:r>
      <w:r>
        <w:rPr>
          <w:rFonts w:ascii="Times New Roman" w:hAnsi="Times New Roman" w:cs="Times New Roman"/>
          <w:sz w:val="24"/>
          <w:szCs w:val="24"/>
        </w:rPr>
        <w:t>’s fairness</w:t>
      </w:r>
      <w:r w:rsidRPr="0042152F">
        <w:rPr>
          <w:rFonts w:ascii="Times New Roman" w:hAnsi="Times New Roman" w:cs="Times New Roman"/>
          <w:sz w:val="24"/>
          <w:szCs w:val="24"/>
        </w:rPr>
        <w:t>. As part of the fair price analysis, Delaware courts are tasked with evaluating the price paid for entire companies, business divisions, specific assets, and so on, in order to determine whether the transaction was fair to the minority shareholders.</w:t>
      </w:r>
      <w:r w:rsidRPr="0042152F">
        <w:rPr>
          <w:rStyle w:val="FootnoteReference"/>
          <w:rFonts w:ascii="Times New Roman" w:hAnsi="Times New Roman" w:cs="Times New Roman"/>
          <w:sz w:val="24"/>
          <w:szCs w:val="24"/>
        </w:rPr>
        <w:footnoteReference w:id="31"/>
      </w:r>
      <w:r w:rsidRPr="0042152F">
        <w:rPr>
          <w:rFonts w:ascii="Times New Roman" w:hAnsi="Times New Roman" w:cs="Times New Roman"/>
          <w:sz w:val="24"/>
          <w:szCs w:val="24"/>
        </w:rPr>
        <w:t xml:space="preserve"> To do so, courts rely on valuation models developed by economists for the pricing of assets.</w:t>
      </w:r>
      <w:r w:rsidRPr="0042152F">
        <w:rPr>
          <w:rStyle w:val="FootnoteReference"/>
          <w:rFonts w:ascii="Times New Roman" w:hAnsi="Times New Roman" w:cs="Times New Roman"/>
          <w:sz w:val="24"/>
          <w:szCs w:val="24"/>
        </w:rPr>
        <w:footnoteReference w:id="32"/>
      </w:r>
      <w:r w:rsidRPr="0042152F">
        <w:rPr>
          <w:rFonts w:ascii="Times New Roman" w:hAnsi="Times New Roman" w:cs="Times New Roman"/>
          <w:sz w:val="24"/>
          <w:szCs w:val="24"/>
        </w:rPr>
        <w:t xml:space="preserve"> Applying valuation models is challenging for most courts, as it requires at least some understanding of financial theory.</w:t>
      </w:r>
      <w:r w:rsidRPr="0042152F">
        <w:rPr>
          <w:rStyle w:val="FootnoteReference"/>
          <w:rFonts w:ascii="Times New Roman" w:hAnsi="Times New Roman" w:cs="Times New Roman"/>
          <w:sz w:val="24"/>
          <w:szCs w:val="24"/>
        </w:rPr>
        <w:footnoteReference w:id="33"/>
      </w:r>
      <w:r w:rsidRPr="0042152F">
        <w:rPr>
          <w:rFonts w:ascii="Times New Roman" w:hAnsi="Times New Roman" w:cs="Times New Roman"/>
          <w:sz w:val="24"/>
          <w:szCs w:val="24"/>
        </w:rPr>
        <w:t xml:space="preserve"> Although Delaware courts are uniquely sophisticated when it comes to cutting-edge valuation techniques,</w:t>
      </w:r>
      <w:r w:rsidRPr="0042152F">
        <w:rPr>
          <w:rStyle w:val="FootnoteReference"/>
          <w:rFonts w:ascii="Times New Roman" w:hAnsi="Times New Roman" w:cs="Times New Roman"/>
          <w:sz w:val="24"/>
          <w:szCs w:val="24"/>
        </w:rPr>
        <w:footnoteReference w:id="34"/>
      </w:r>
      <w:r w:rsidRPr="0042152F">
        <w:rPr>
          <w:rFonts w:ascii="Times New Roman" w:hAnsi="Times New Roman" w:cs="Times New Roman"/>
          <w:sz w:val="24"/>
          <w:szCs w:val="24"/>
        </w:rPr>
        <w:t xml:space="preserve"> non-trivial challenges remain when courts conduct their own independent valuation.</w:t>
      </w:r>
      <w:bookmarkStart w:id="2" w:name="_Ref181870665"/>
      <w:r w:rsidRPr="0042152F">
        <w:rPr>
          <w:rStyle w:val="FootnoteReference"/>
          <w:rFonts w:ascii="Times New Roman" w:hAnsi="Times New Roman" w:cs="Times New Roman"/>
          <w:sz w:val="24"/>
          <w:szCs w:val="24"/>
        </w:rPr>
        <w:footnoteReference w:id="35"/>
      </w:r>
      <w:bookmarkEnd w:id="2"/>
      <w:r>
        <w:rPr>
          <w:rFonts w:ascii="Times New Roman" w:hAnsi="Times New Roman" w:cs="Times New Roman"/>
          <w:sz w:val="24"/>
          <w:szCs w:val="24"/>
        </w:rPr>
        <w:t xml:space="preserve"> </w:t>
      </w:r>
    </w:p>
    <w:p w14:paraId="1890619C" w14:textId="5DB4C523" w:rsidR="00DC6B6F" w:rsidRPr="00952A82" w:rsidRDefault="00D417FB"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w:t>
      </w:r>
      <w:r w:rsidR="00712993">
        <w:rPr>
          <w:rFonts w:ascii="Times New Roman" w:hAnsi="Times New Roman" w:cs="Times New Roman"/>
          <w:sz w:val="24"/>
          <w:szCs w:val="24"/>
        </w:rPr>
        <w:t xml:space="preserve">valuation challenges </w:t>
      </w:r>
      <w:r w:rsidR="00712993" w:rsidRPr="0042152F">
        <w:rPr>
          <w:rFonts w:ascii="Times New Roman" w:hAnsi="Times New Roman" w:cs="Times New Roman"/>
          <w:sz w:val="24"/>
          <w:szCs w:val="24"/>
        </w:rPr>
        <w:t>become especially unwieldy when idiosyncratic vision is at stake</w:t>
      </w:r>
      <w:r w:rsidR="00712993">
        <w:rPr>
          <w:rFonts w:ascii="Times New Roman" w:hAnsi="Times New Roman" w:cs="Times New Roman"/>
          <w:sz w:val="24"/>
          <w:szCs w:val="24"/>
        </w:rPr>
        <w:t xml:space="preserve">. </w:t>
      </w:r>
      <w:r w:rsidR="00F35904" w:rsidRPr="0042152F">
        <w:rPr>
          <w:rFonts w:ascii="Times New Roman" w:hAnsi="Times New Roman" w:cs="Times New Roman"/>
          <w:sz w:val="24"/>
          <w:szCs w:val="24"/>
        </w:rPr>
        <w:t>While</w:t>
      </w:r>
      <w:r w:rsidR="00E14940" w:rsidRPr="00E14940">
        <w:rPr>
          <w:rFonts w:ascii="Times New Roman" w:hAnsi="Times New Roman" w:cs="Times New Roman"/>
          <w:sz w:val="24"/>
          <w:szCs w:val="24"/>
        </w:rPr>
        <w:t xml:space="preserve"> </w:t>
      </w:r>
      <w:r w:rsidR="00E14940">
        <w:rPr>
          <w:rFonts w:ascii="Times New Roman" w:hAnsi="Times New Roman" w:cs="Times New Roman"/>
          <w:sz w:val="24"/>
          <w:szCs w:val="24"/>
        </w:rPr>
        <w:t xml:space="preserve">relying </w:t>
      </w:r>
      <w:r w:rsidR="00E14940" w:rsidRPr="0042152F">
        <w:rPr>
          <w:rFonts w:ascii="Times New Roman" w:hAnsi="Times New Roman" w:cs="Times New Roman"/>
          <w:sz w:val="24"/>
          <w:szCs w:val="24"/>
        </w:rPr>
        <w:t>on accepted valuation methodologies</w:t>
      </w:r>
      <w:r w:rsidR="00F35904" w:rsidRPr="0042152F">
        <w:rPr>
          <w:rFonts w:ascii="Times New Roman" w:hAnsi="Times New Roman" w:cs="Times New Roman"/>
          <w:sz w:val="24"/>
          <w:szCs w:val="24"/>
        </w:rPr>
        <w:t xml:space="preserve"> works for </w:t>
      </w:r>
      <w:r w:rsidR="00E817A2" w:rsidRPr="0042152F">
        <w:rPr>
          <w:rFonts w:ascii="Times New Roman" w:hAnsi="Times New Roman" w:cs="Times New Roman"/>
          <w:sz w:val="24"/>
          <w:szCs w:val="24"/>
        </w:rPr>
        <w:t xml:space="preserve">transactions </w:t>
      </w:r>
      <w:r w:rsidR="00234CBD" w:rsidRPr="0042152F">
        <w:rPr>
          <w:rFonts w:ascii="Times New Roman" w:hAnsi="Times New Roman" w:cs="Times New Roman"/>
          <w:sz w:val="24"/>
          <w:szCs w:val="24"/>
        </w:rPr>
        <w:t xml:space="preserve">involving assets </w:t>
      </w:r>
      <w:r w:rsidR="00EA1613" w:rsidRPr="0042152F">
        <w:rPr>
          <w:rFonts w:ascii="Times New Roman" w:hAnsi="Times New Roman" w:cs="Times New Roman"/>
          <w:sz w:val="24"/>
          <w:szCs w:val="24"/>
        </w:rPr>
        <w:t xml:space="preserve">that </w:t>
      </w:r>
      <w:r w:rsidR="00E14940">
        <w:rPr>
          <w:rFonts w:ascii="Times New Roman" w:hAnsi="Times New Roman" w:cs="Times New Roman"/>
          <w:sz w:val="24"/>
          <w:szCs w:val="24"/>
        </w:rPr>
        <w:t xml:space="preserve">can be objectively </w:t>
      </w:r>
      <w:r w:rsidR="00EA1613" w:rsidRPr="0042152F">
        <w:rPr>
          <w:rFonts w:ascii="Times New Roman" w:hAnsi="Times New Roman" w:cs="Times New Roman"/>
          <w:sz w:val="24"/>
          <w:szCs w:val="24"/>
        </w:rPr>
        <w:t>valued</w:t>
      </w:r>
      <w:r w:rsidR="0003125A" w:rsidRPr="0042152F">
        <w:rPr>
          <w:rFonts w:ascii="Times New Roman" w:hAnsi="Times New Roman" w:cs="Times New Roman"/>
          <w:sz w:val="24"/>
          <w:szCs w:val="24"/>
        </w:rPr>
        <w:t xml:space="preserve">, </w:t>
      </w:r>
      <w:r w:rsidR="00C63D6D" w:rsidRPr="0042152F">
        <w:rPr>
          <w:rFonts w:ascii="Times New Roman" w:hAnsi="Times New Roman" w:cs="Times New Roman"/>
          <w:sz w:val="24"/>
          <w:szCs w:val="24"/>
        </w:rPr>
        <w:t>there</w:t>
      </w:r>
      <w:r w:rsidR="00DC6B6F" w:rsidRPr="0042152F">
        <w:rPr>
          <w:rFonts w:ascii="Times New Roman" w:hAnsi="Times New Roman" w:cs="Times New Roman"/>
          <w:sz w:val="24"/>
          <w:szCs w:val="24"/>
        </w:rPr>
        <w:t xml:space="preserve"> is no </w:t>
      </w:r>
      <w:r w:rsidR="00225D01" w:rsidRPr="0042152F">
        <w:rPr>
          <w:rFonts w:ascii="Times New Roman" w:hAnsi="Times New Roman" w:cs="Times New Roman"/>
          <w:sz w:val="24"/>
          <w:szCs w:val="24"/>
        </w:rPr>
        <w:t>acceptable</w:t>
      </w:r>
      <w:r w:rsidR="00DC6B6F" w:rsidRPr="0042152F">
        <w:rPr>
          <w:rFonts w:ascii="Times New Roman" w:hAnsi="Times New Roman" w:cs="Times New Roman"/>
          <w:sz w:val="24"/>
          <w:szCs w:val="24"/>
        </w:rPr>
        <w:t xml:space="preserve"> methodology for valuing an entrepreneur’s idiosyncratic vision and there likely never will be.</w:t>
      </w:r>
      <w:r w:rsidR="00DC6B6F" w:rsidRPr="0042152F">
        <w:rPr>
          <w:rStyle w:val="FootnoteReference"/>
          <w:rFonts w:ascii="Times New Roman" w:hAnsi="Times New Roman" w:cs="Times New Roman"/>
          <w:sz w:val="24"/>
          <w:szCs w:val="24"/>
        </w:rPr>
        <w:footnoteReference w:id="36"/>
      </w:r>
      <w:r w:rsidR="00DC6B6F" w:rsidRPr="0042152F">
        <w:rPr>
          <w:rFonts w:ascii="Times New Roman" w:hAnsi="Times New Roman" w:cs="Times New Roman"/>
          <w:sz w:val="24"/>
          <w:szCs w:val="24"/>
        </w:rPr>
        <w:t xml:space="preserve"> </w:t>
      </w:r>
      <w:r>
        <w:rPr>
          <w:rFonts w:ascii="Times New Roman" w:hAnsi="Times New Roman" w:cs="Times New Roman"/>
          <w:sz w:val="24"/>
          <w:szCs w:val="24"/>
        </w:rPr>
        <w:t>And w</w:t>
      </w:r>
      <w:r w:rsidR="00DC6B6F" w:rsidRPr="0042152F">
        <w:rPr>
          <w:rFonts w:ascii="Times New Roman" w:hAnsi="Times New Roman" w:cs="Times New Roman"/>
          <w:sz w:val="24"/>
          <w:szCs w:val="24"/>
        </w:rPr>
        <w:t xml:space="preserve">ithout a reliable way to assess the value contributed by visionary individuals to a specific firm, courts </w:t>
      </w:r>
      <w:r w:rsidR="00D9472D">
        <w:rPr>
          <w:rFonts w:ascii="Times New Roman" w:hAnsi="Times New Roman" w:cs="Times New Roman"/>
          <w:sz w:val="24"/>
          <w:szCs w:val="24"/>
        </w:rPr>
        <w:t xml:space="preserve">would naturally </w:t>
      </w:r>
      <w:r w:rsidR="00DC6B6F" w:rsidRPr="0042152F">
        <w:rPr>
          <w:rFonts w:ascii="Times New Roman" w:hAnsi="Times New Roman" w:cs="Times New Roman"/>
          <w:sz w:val="24"/>
          <w:szCs w:val="24"/>
        </w:rPr>
        <w:t>tend to focus on tangible guideposts</w:t>
      </w:r>
      <w:r w:rsidR="007E4D78">
        <w:rPr>
          <w:rFonts w:ascii="Times New Roman" w:hAnsi="Times New Roman" w:cs="Times New Roman"/>
          <w:sz w:val="24"/>
          <w:szCs w:val="24"/>
        </w:rPr>
        <w:t>, such as</w:t>
      </w:r>
      <w:r w:rsidR="00DC6B6F" w:rsidRPr="0042152F">
        <w:rPr>
          <w:rFonts w:ascii="Times New Roman" w:hAnsi="Times New Roman" w:cs="Times New Roman"/>
          <w:sz w:val="24"/>
          <w:szCs w:val="24"/>
        </w:rPr>
        <w:t xml:space="preserve"> the </w:t>
      </w:r>
      <w:r w:rsidR="00F826D6" w:rsidRPr="0042152F">
        <w:rPr>
          <w:rFonts w:ascii="Times New Roman" w:hAnsi="Times New Roman" w:cs="Times New Roman"/>
          <w:sz w:val="24"/>
          <w:szCs w:val="24"/>
        </w:rPr>
        <w:t>compensation</w:t>
      </w:r>
      <w:r w:rsidR="00DC6B6F" w:rsidRPr="0042152F">
        <w:rPr>
          <w:rFonts w:ascii="Times New Roman" w:hAnsi="Times New Roman" w:cs="Times New Roman"/>
          <w:sz w:val="24"/>
          <w:szCs w:val="24"/>
        </w:rPr>
        <w:t xml:space="preserve"> of an “average” CEO at a “comparable”</w:t>
      </w:r>
      <w:r w:rsidR="00DC6B6F" w:rsidRPr="0042152F">
        <w:rPr>
          <w:rStyle w:val="FootnoteReference"/>
          <w:rFonts w:ascii="Times New Roman" w:hAnsi="Times New Roman" w:cs="Times New Roman"/>
          <w:sz w:val="24"/>
          <w:szCs w:val="24"/>
        </w:rPr>
        <w:footnoteReference w:id="37"/>
      </w:r>
      <w:r w:rsidR="00DC6B6F" w:rsidRPr="0042152F">
        <w:rPr>
          <w:rFonts w:ascii="Times New Roman" w:hAnsi="Times New Roman" w:cs="Times New Roman"/>
          <w:sz w:val="24"/>
          <w:szCs w:val="24"/>
        </w:rPr>
        <w:t xml:space="preserve"> company.</w:t>
      </w:r>
      <w:r w:rsidR="00E00AF8">
        <w:rPr>
          <w:rStyle w:val="FootnoteReference"/>
          <w:rFonts w:ascii="Times New Roman" w:hAnsi="Times New Roman" w:cs="Times New Roman"/>
          <w:sz w:val="24"/>
          <w:szCs w:val="24"/>
        </w:rPr>
        <w:footnoteReference w:id="38"/>
      </w:r>
      <w:r w:rsidR="00DC6B6F" w:rsidRPr="0042152F">
        <w:rPr>
          <w:rFonts w:ascii="Times New Roman" w:hAnsi="Times New Roman" w:cs="Times New Roman"/>
          <w:sz w:val="24"/>
          <w:szCs w:val="24"/>
        </w:rPr>
        <w:t xml:space="preserve"> But </w:t>
      </w:r>
      <w:r w:rsidR="00EA1613" w:rsidRPr="0042152F">
        <w:rPr>
          <w:rFonts w:ascii="Times New Roman" w:hAnsi="Times New Roman" w:cs="Times New Roman"/>
          <w:sz w:val="24"/>
          <w:szCs w:val="24"/>
        </w:rPr>
        <w:t>these benchmarks fail</w:t>
      </w:r>
      <w:r w:rsidR="00DC6B6F" w:rsidRPr="0042152F">
        <w:rPr>
          <w:rFonts w:ascii="Times New Roman" w:hAnsi="Times New Roman" w:cs="Times New Roman"/>
          <w:sz w:val="24"/>
          <w:szCs w:val="24"/>
        </w:rPr>
        <w:t xml:space="preserve"> to account for outliers or extreme probabilities</w:t>
      </w:r>
      <w:r w:rsidR="000C1809" w:rsidRPr="0042152F">
        <w:rPr>
          <w:rFonts w:ascii="Times New Roman" w:hAnsi="Times New Roman" w:cs="Times New Roman"/>
          <w:sz w:val="24"/>
          <w:szCs w:val="24"/>
        </w:rPr>
        <w:t xml:space="preserve">, </w:t>
      </w:r>
      <w:r w:rsidR="00D86002" w:rsidRPr="0042152F">
        <w:rPr>
          <w:rFonts w:ascii="Times New Roman" w:hAnsi="Times New Roman" w:cs="Times New Roman"/>
          <w:sz w:val="24"/>
          <w:szCs w:val="24"/>
        </w:rPr>
        <w:t xml:space="preserve">leading courts to treat even </w:t>
      </w:r>
      <w:r w:rsidR="00BA4CC2" w:rsidRPr="0042152F">
        <w:rPr>
          <w:rFonts w:ascii="Times New Roman" w:hAnsi="Times New Roman" w:cs="Times New Roman"/>
          <w:sz w:val="24"/>
          <w:szCs w:val="24"/>
        </w:rPr>
        <w:t xml:space="preserve">exceptional corporate leaders as </w:t>
      </w:r>
      <w:r w:rsidR="00347CF4" w:rsidRPr="0042152F">
        <w:rPr>
          <w:rFonts w:ascii="Times New Roman" w:hAnsi="Times New Roman" w:cs="Times New Roman"/>
          <w:sz w:val="24"/>
          <w:szCs w:val="24"/>
        </w:rPr>
        <w:t>“average” CEOs</w:t>
      </w:r>
      <w:r w:rsidR="00DC6B6F" w:rsidRPr="0042152F">
        <w:rPr>
          <w:rFonts w:ascii="Times New Roman" w:hAnsi="Times New Roman" w:cs="Times New Roman"/>
          <w:sz w:val="24"/>
          <w:szCs w:val="24"/>
        </w:rPr>
        <w:t>.</w:t>
      </w:r>
      <w:r w:rsidR="00DC6B6F" w:rsidRPr="0042152F">
        <w:rPr>
          <w:rStyle w:val="FootnoteReference"/>
          <w:rFonts w:ascii="Times New Roman" w:hAnsi="Times New Roman" w:cs="Times New Roman"/>
          <w:sz w:val="24"/>
          <w:szCs w:val="24"/>
        </w:rPr>
        <w:footnoteReference w:id="39"/>
      </w:r>
      <w:r w:rsidR="00DC6B6F" w:rsidRPr="0042152F">
        <w:rPr>
          <w:rFonts w:ascii="Times New Roman" w:hAnsi="Times New Roman" w:cs="Times New Roman"/>
          <w:sz w:val="24"/>
          <w:szCs w:val="24"/>
        </w:rPr>
        <w:t xml:space="preserve"> </w:t>
      </w:r>
      <w:r>
        <w:rPr>
          <w:rFonts w:ascii="Times New Roman" w:hAnsi="Times New Roman" w:cs="Times New Roman"/>
          <w:sz w:val="24"/>
          <w:szCs w:val="24"/>
        </w:rPr>
        <w:t>As an example</w:t>
      </w:r>
      <w:r w:rsidR="00DC6B6F" w:rsidRPr="0042152F">
        <w:rPr>
          <w:rFonts w:ascii="Times New Roman" w:hAnsi="Times New Roman" w:cs="Times New Roman"/>
          <w:sz w:val="24"/>
          <w:szCs w:val="24"/>
        </w:rPr>
        <w:t xml:space="preserve">, the </w:t>
      </w:r>
      <w:r w:rsidR="00DC6B6F" w:rsidRPr="0042152F">
        <w:rPr>
          <w:rFonts w:ascii="Times New Roman" w:hAnsi="Times New Roman" w:cs="Times New Roman"/>
          <w:i/>
          <w:iCs/>
          <w:sz w:val="24"/>
          <w:szCs w:val="24"/>
        </w:rPr>
        <w:t>Tornetta</w:t>
      </w:r>
      <w:r w:rsidR="00DC6B6F" w:rsidRPr="0042152F">
        <w:rPr>
          <w:rFonts w:ascii="Times New Roman" w:hAnsi="Times New Roman" w:cs="Times New Roman"/>
          <w:sz w:val="24"/>
          <w:szCs w:val="24"/>
        </w:rPr>
        <w:t xml:space="preserve"> court noted that Musk’s maximum payout under the compensation plan was “250 times larger than the contemporaneous median peer compensation plan and 33 times larger than the plan’s closest comparison.”</w:t>
      </w:r>
      <w:r w:rsidR="00DC6B6F" w:rsidRPr="0042152F">
        <w:rPr>
          <w:rStyle w:val="FootnoteReference"/>
          <w:rFonts w:ascii="Times New Roman" w:hAnsi="Times New Roman" w:cs="Times New Roman"/>
          <w:sz w:val="24"/>
          <w:szCs w:val="24"/>
        </w:rPr>
        <w:footnoteReference w:id="40"/>
      </w:r>
      <w:r w:rsidR="00DC6B6F" w:rsidRPr="0042152F">
        <w:rPr>
          <w:rFonts w:ascii="Times New Roman" w:hAnsi="Times New Roman" w:cs="Times New Roman"/>
          <w:sz w:val="24"/>
          <w:szCs w:val="24"/>
        </w:rPr>
        <w:t xml:space="preserve"> This approach, however, is also inherently at odds with the rationale underlying Musk’s compensation package: the board argued that Musk</w:t>
      </w:r>
      <w:r w:rsidR="00DC6B6F" w:rsidRPr="0042152F">
        <w:rPr>
          <w:rFonts w:ascii="Times New Roman" w:hAnsi="Times New Roman" w:cs="Times New Roman"/>
          <w:i/>
          <w:iCs/>
          <w:sz w:val="24"/>
          <w:szCs w:val="24"/>
        </w:rPr>
        <w:t>—</w:t>
      </w:r>
      <w:r w:rsidR="00DC6B6F" w:rsidRPr="0042152F">
        <w:rPr>
          <w:rFonts w:ascii="Times New Roman" w:hAnsi="Times New Roman" w:cs="Times New Roman"/>
          <w:sz w:val="24"/>
          <w:szCs w:val="24"/>
        </w:rPr>
        <w:t>and only Musk—could enable Tesla to achieve its ambitious milestones.</w:t>
      </w:r>
      <w:r w:rsidR="001F1247" w:rsidRPr="0042152F">
        <w:rPr>
          <w:rFonts w:ascii="Times New Roman" w:hAnsi="Times New Roman" w:cs="Times New Roman"/>
          <w:sz w:val="24"/>
          <w:szCs w:val="24"/>
        </w:rPr>
        <w:t xml:space="preserve"> </w:t>
      </w:r>
      <w:r w:rsidR="00A35CDA">
        <w:rPr>
          <w:rFonts w:ascii="Times New Roman" w:hAnsi="Times New Roman" w:cs="Times New Roman"/>
          <w:sz w:val="24"/>
          <w:szCs w:val="24"/>
        </w:rPr>
        <w:t>I</w:t>
      </w:r>
      <w:r w:rsidR="00EA1613" w:rsidRPr="0042152F">
        <w:rPr>
          <w:rFonts w:ascii="Times New Roman" w:hAnsi="Times New Roman" w:cs="Times New Roman"/>
          <w:sz w:val="24"/>
          <w:szCs w:val="24"/>
        </w:rPr>
        <w:t xml:space="preserve">n light of </w:t>
      </w:r>
      <w:r w:rsidR="00DC6B6F" w:rsidRPr="0042152F">
        <w:rPr>
          <w:rFonts w:ascii="Times New Roman" w:hAnsi="Times New Roman" w:cs="Times New Roman"/>
          <w:sz w:val="24"/>
          <w:szCs w:val="24"/>
        </w:rPr>
        <w:t xml:space="preserve">the wide range in leadership performance and the inability to </w:t>
      </w:r>
      <w:r w:rsidR="00C63D6D" w:rsidRPr="0042152F">
        <w:rPr>
          <w:rFonts w:ascii="Times New Roman" w:hAnsi="Times New Roman" w:cs="Times New Roman"/>
          <w:sz w:val="24"/>
          <w:szCs w:val="24"/>
        </w:rPr>
        <w:t>sort top performers</w:t>
      </w:r>
      <w:r w:rsidR="00DC6B6F" w:rsidRPr="0042152F">
        <w:rPr>
          <w:rFonts w:ascii="Times New Roman" w:hAnsi="Times New Roman" w:cs="Times New Roman"/>
          <w:sz w:val="24"/>
          <w:szCs w:val="24"/>
        </w:rPr>
        <w:t xml:space="preserve"> </w:t>
      </w:r>
      <w:r w:rsidR="00DC6B6F" w:rsidRPr="0042152F">
        <w:rPr>
          <w:rFonts w:ascii="Times New Roman" w:hAnsi="Times New Roman" w:cs="Times New Roman"/>
          <w:i/>
          <w:iCs/>
          <w:sz w:val="24"/>
          <w:szCs w:val="24"/>
        </w:rPr>
        <w:t>ex ante</w:t>
      </w:r>
      <w:r w:rsidR="00DC6B6F" w:rsidRPr="0042152F">
        <w:rPr>
          <w:rFonts w:ascii="Times New Roman" w:hAnsi="Times New Roman" w:cs="Times New Roman"/>
          <w:sz w:val="24"/>
          <w:szCs w:val="24"/>
        </w:rPr>
        <w:t xml:space="preserve">, the effectiveness of judicial </w:t>
      </w:r>
      <w:r w:rsidR="00DC6B6F" w:rsidRPr="00952A82">
        <w:rPr>
          <w:rFonts w:ascii="Times New Roman" w:hAnsi="Times New Roman" w:cs="Times New Roman"/>
          <w:sz w:val="24"/>
          <w:szCs w:val="24"/>
        </w:rPr>
        <w:t>review under the entire fairness standard</w:t>
      </w:r>
      <w:r w:rsidR="00C63D6D" w:rsidRPr="00952A82">
        <w:rPr>
          <w:rFonts w:ascii="Times New Roman" w:hAnsi="Times New Roman" w:cs="Times New Roman"/>
          <w:sz w:val="24"/>
          <w:szCs w:val="24"/>
        </w:rPr>
        <w:t xml:space="preserve"> is substantially lessened</w:t>
      </w:r>
      <w:r w:rsidR="00DC6B6F" w:rsidRPr="00952A82">
        <w:rPr>
          <w:rFonts w:ascii="Times New Roman" w:hAnsi="Times New Roman" w:cs="Times New Roman"/>
          <w:sz w:val="24"/>
          <w:szCs w:val="24"/>
        </w:rPr>
        <w:t>.</w:t>
      </w:r>
      <w:r w:rsidR="0038489C" w:rsidRPr="0038489C">
        <w:rPr>
          <w:rStyle w:val="FootnoteReference"/>
          <w:rFonts w:ascii="Times New Roman" w:hAnsi="Times New Roman" w:cs="Times New Roman"/>
          <w:sz w:val="24"/>
          <w:szCs w:val="24"/>
        </w:rPr>
        <w:t xml:space="preserve"> </w:t>
      </w:r>
      <w:bookmarkStart w:id="3" w:name="_Ref181869476"/>
      <w:r w:rsidR="0038489C" w:rsidRPr="00952A82">
        <w:rPr>
          <w:rStyle w:val="FootnoteReference"/>
          <w:rFonts w:ascii="Times New Roman" w:hAnsi="Times New Roman" w:cs="Times New Roman"/>
          <w:sz w:val="24"/>
          <w:szCs w:val="24"/>
        </w:rPr>
        <w:footnoteReference w:id="41"/>
      </w:r>
      <w:bookmarkEnd w:id="3"/>
      <w:r w:rsidR="00651D31" w:rsidRPr="00952A82">
        <w:rPr>
          <w:rFonts w:ascii="Times New Roman" w:hAnsi="Times New Roman" w:cs="Times New Roman"/>
          <w:sz w:val="24"/>
          <w:szCs w:val="24"/>
        </w:rPr>
        <w:t xml:space="preserve"> </w:t>
      </w:r>
    </w:p>
    <w:p w14:paraId="355962F4" w14:textId="7B70401F" w:rsidR="0038489C" w:rsidRDefault="00562C17" w:rsidP="00B54C7C">
      <w:pPr>
        <w:spacing w:after="0" w:line="360" w:lineRule="auto"/>
        <w:ind w:firstLine="720"/>
        <w:jc w:val="both"/>
        <w:rPr>
          <w:rFonts w:ascii="Times New Roman" w:hAnsi="Times New Roman" w:cs="Times New Roman"/>
          <w:sz w:val="24"/>
          <w:szCs w:val="24"/>
        </w:rPr>
      </w:pPr>
      <w:r w:rsidRPr="00952A82">
        <w:rPr>
          <w:rFonts w:ascii="Times New Roman" w:hAnsi="Times New Roman" w:cs="Times New Roman"/>
          <w:sz w:val="24"/>
          <w:szCs w:val="24"/>
        </w:rPr>
        <w:t>The inability to value vision also matters when courts examine the process leading to the transaction</w:t>
      </w:r>
      <w:r w:rsidR="00D417FB">
        <w:rPr>
          <w:rFonts w:ascii="Times New Roman" w:hAnsi="Times New Roman" w:cs="Times New Roman"/>
          <w:sz w:val="24"/>
          <w:szCs w:val="24"/>
        </w:rPr>
        <w:t xml:space="preserve">, </w:t>
      </w:r>
      <w:r w:rsidR="00BC0E15" w:rsidRPr="00952A82">
        <w:rPr>
          <w:rFonts w:ascii="Times New Roman" w:hAnsi="Times New Roman" w:cs="Times New Roman"/>
          <w:sz w:val="24"/>
          <w:szCs w:val="24"/>
        </w:rPr>
        <w:t>because valuation plays a</w:t>
      </w:r>
      <w:r w:rsidR="00D417FB">
        <w:rPr>
          <w:rFonts w:ascii="Times New Roman" w:hAnsi="Times New Roman" w:cs="Times New Roman"/>
          <w:sz w:val="24"/>
          <w:szCs w:val="24"/>
        </w:rPr>
        <w:t>n important</w:t>
      </w:r>
      <w:r w:rsidR="00BC0E15" w:rsidRPr="00952A82">
        <w:rPr>
          <w:rFonts w:ascii="Times New Roman" w:hAnsi="Times New Roman" w:cs="Times New Roman"/>
          <w:sz w:val="24"/>
          <w:szCs w:val="24"/>
        </w:rPr>
        <w:t xml:space="preserve"> role in the bargaining process</w:t>
      </w:r>
      <w:r w:rsidRPr="00952A82">
        <w:rPr>
          <w:rFonts w:ascii="Times New Roman" w:hAnsi="Times New Roman" w:cs="Times New Roman"/>
          <w:sz w:val="24"/>
          <w:szCs w:val="24"/>
        </w:rPr>
        <w:t>.</w:t>
      </w:r>
      <w:r w:rsidR="004F67AF" w:rsidRPr="00952A82">
        <w:rPr>
          <w:rFonts w:ascii="Times New Roman" w:hAnsi="Times New Roman" w:cs="Times New Roman"/>
          <w:sz w:val="24"/>
          <w:szCs w:val="24"/>
        </w:rPr>
        <w:t xml:space="preserve"> </w:t>
      </w:r>
      <w:r w:rsidR="00D417FB">
        <w:rPr>
          <w:rFonts w:ascii="Times New Roman" w:hAnsi="Times New Roman" w:cs="Times New Roman"/>
          <w:sz w:val="24"/>
          <w:szCs w:val="24"/>
        </w:rPr>
        <w:t>When contemplating a transaction with a controlling shareholder, t</w:t>
      </w:r>
      <w:r w:rsidR="006C7843">
        <w:rPr>
          <w:rFonts w:ascii="Times New Roman" w:hAnsi="Times New Roman" w:cs="Times New Roman"/>
          <w:sz w:val="24"/>
          <w:szCs w:val="24"/>
        </w:rPr>
        <w:t xml:space="preserve">he board </w:t>
      </w:r>
      <w:r w:rsidR="00504DFE">
        <w:rPr>
          <w:rFonts w:ascii="Times New Roman" w:hAnsi="Times New Roman" w:cs="Times New Roman"/>
          <w:sz w:val="24"/>
          <w:szCs w:val="24"/>
        </w:rPr>
        <w:t xml:space="preserve">typically </w:t>
      </w:r>
      <w:r w:rsidR="006C7843">
        <w:rPr>
          <w:rFonts w:ascii="Times New Roman" w:hAnsi="Times New Roman" w:cs="Times New Roman"/>
          <w:sz w:val="24"/>
          <w:szCs w:val="24"/>
        </w:rPr>
        <w:t xml:space="preserve">appoints a special </w:t>
      </w:r>
      <w:r w:rsidR="006C7843">
        <w:rPr>
          <w:rFonts w:ascii="Times New Roman" w:hAnsi="Times New Roman" w:cs="Times New Roman"/>
          <w:sz w:val="24"/>
          <w:szCs w:val="24"/>
        </w:rPr>
        <w:lastRenderedPageBreak/>
        <w:t>committee composed of independent and disinterested directors to negotiate</w:t>
      </w:r>
      <w:r w:rsidR="00D417FB">
        <w:rPr>
          <w:rFonts w:ascii="Times New Roman" w:hAnsi="Times New Roman" w:cs="Times New Roman"/>
          <w:sz w:val="24"/>
          <w:szCs w:val="24"/>
        </w:rPr>
        <w:t xml:space="preserve"> with the controller</w:t>
      </w:r>
      <w:r w:rsidR="006C7843">
        <w:rPr>
          <w:rFonts w:ascii="Times New Roman" w:hAnsi="Times New Roman" w:cs="Times New Roman"/>
          <w:sz w:val="24"/>
          <w:szCs w:val="24"/>
        </w:rPr>
        <w:t xml:space="preserve">. </w:t>
      </w:r>
      <w:r w:rsidR="009953EE" w:rsidRPr="00952A82">
        <w:rPr>
          <w:rFonts w:ascii="Times New Roman" w:hAnsi="Times New Roman" w:cs="Times New Roman"/>
          <w:sz w:val="24"/>
          <w:szCs w:val="24"/>
        </w:rPr>
        <w:t xml:space="preserve">Ideally, the special committee will first assess the value of the proposed transaction </w:t>
      </w:r>
      <w:r w:rsidR="00064948" w:rsidRPr="00952A82">
        <w:rPr>
          <w:rFonts w:ascii="Times New Roman" w:hAnsi="Times New Roman" w:cs="Times New Roman"/>
          <w:sz w:val="24"/>
          <w:szCs w:val="24"/>
        </w:rPr>
        <w:t>and then negotiate with that price in mind.</w:t>
      </w:r>
      <w:r w:rsidR="004B3558" w:rsidRPr="00952A82">
        <w:rPr>
          <w:rStyle w:val="FootnoteReference"/>
          <w:rFonts w:ascii="Times New Roman" w:hAnsi="Times New Roman" w:cs="Times New Roman"/>
          <w:sz w:val="24"/>
          <w:szCs w:val="24"/>
        </w:rPr>
        <w:footnoteReference w:id="42"/>
      </w:r>
      <w:r w:rsidR="004B3558" w:rsidRPr="00952A82">
        <w:rPr>
          <w:rFonts w:ascii="Times New Roman" w:hAnsi="Times New Roman" w:cs="Times New Roman"/>
          <w:sz w:val="24"/>
          <w:szCs w:val="24"/>
        </w:rPr>
        <w:t xml:space="preserve"> </w:t>
      </w:r>
      <w:r w:rsidR="00015B38" w:rsidRPr="00952A82">
        <w:rPr>
          <w:rFonts w:ascii="Times New Roman" w:hAnsi="Times New Roman" w:cs="Times New Roman"/>
          <w:sz w:val="24"/>
          <w:szCs w:val="24"/>
        </w:rPr>
        <w:t>Yet</w:t>
      </w:r>
      <w:r w:rsidR="008730E2" w:rsidRPr="00952A82">
        <w:rPr>
          <w:rFonts w:ascii="Times New Roman" w:hAnsi="Times New Roman" w:cs="Times New Roman"/>
          <w:sz w:val="24"/>
          <w:szCs w:val="24"/>
        </w:rPr>
        <w:t>,</w:t>
      </w:r>
      <w:r w:rsidR="00064948" w:rsidRPr="00952A82">
        <w:rPr>
          <w:rFonts w:ascii="Times New Roman" w:hAnsi="Times New Roman" w:cs="Times New Roman"/>
          <w:sz w:val="24"/>
          <w:szCs w:val="24"/>
        </w:rPr>
        <w:t xml:space="preserve"> </w:t>
      </w:r>
      <w:r w:rsidR="00D417FB">
        <w:rPr>
          <w:rFonts w:ascii="Times New Roman" w:hAnsi="Times New Roman" w:cs="Times New Roman"/>
          <w:sz w:val="24"/>
          <w:szCs w:val="24"/>
        </w:rPr>
        <w:t xml:space="preserve">because </w:t>
      </w:r>
      <w:r w:rsidR="00064948" w:rsidRPr="00952A82">
        <w:rPr>
          <w:rFonts w:ascii="Times New Roman" w:hAnsi="Times New Roman" w:cs="Times New Roman"/>
          <w:sz w:val="24"/>
          <w:szCs w:val="24"/>
        </w:rPr>
        <w:t xml:space="preserve">the value of </w:t>
      </w:r>
      <w:r w:rsidR="00015B38" w:rsidRPr="00952A82">
        <w:rPr>
          <w:rFonts w:ascii="Times New Roman" w:hAnsi="Times New Roman" w:cs="Times New Roman"/>
          <w:sz w:val="24"/>
          <w:szCs w:val="24"/>
        </w:rPr>
        <w:t xml:space="preserve">idiosyncratic vision is inherently </w:t>
      </w:r>
      <w:proofErr w:type="spellStart"/>
      <w:r w:rsidR="00015B38" w:rsidRPr="00952A82">
        <w:rPr>
          <w:rFonts w:ascii="Times New Roman" w:hAnsi="Times New Roman" w:cs="Times New Roman"/>
          <w:sz w:val="24"/>
          <w:szCs w:val="24"/>
        </w:rPr>
        <w:t>nonverifiable</w:t>
      </w:r>
      <w:proofErr w:type="spellEnd"/>
      <w:r w:rsidR="00D417FB">
        <w:rPr>
          <w:rFonts w:ascii="Times New Roman" w:hAnsi="Times New Roman" w:cs="Times New Roman"/>
          <w:sz w:val="24"/>
          <w:szCs w:val="24"/>
        </w:rPr>
        <w:t xml:space="preserve">, </w:t>
      </w:r>
      <w:r w:rsidR="002627BA" w:rsidRPr="00952A82">
        <w:rPr>
          <w:rFonts w:ascii="Times New Roman" w:hAnsi="Times New Roman" w:cs="Times New Roman"/>
          <w:sz w:val="24"/>
          <w:szCs w:val="24"/>
        </w:rPr>
        <w:t xml:space="preserve">the </w:t>
      </w:r>
      <w:r w:rsidR="00015B38" w:rsidRPr="00952A82">
        <w:rPr>
          <w:rFonts w:ascii="Times New Roman" w:hAnsi="Times New Roman" w:cs="Times New Roman"/>
          <w:sz w:val="24"/>
          <w:szCs w:val="24"/>
        </w:rPr>
        <w:t>special committee ultimately bargai</w:t>
      </w:r>
      <w:r w:rsidR="004F67AF" w:rsidRPr="00952A82">
        <w:rPr>
          <w:rFonts w:ascii="Times New Roman" w:hAnsi="Times New Roman" w:cs="Times New Roman"/>
          <w:sz w:val="24"/>
          <w:szCs w:val="24"/>
        </w:rPr>
        <w:t>n</w:t>
      </w:r>
      <w:r w:rsidR="002627BA" w:rsidRPr="00952A82">
        <w:rPr>
          <w:rFonts w:ascii="Times New Roman" w:hAnsi="Times New Roman" w:cs="Times New Roman"/>
          <w:sz w:val="24"/>
          <w:szCs w:val="24"/>
        </w:rPr>
        <w:t>s</w:t>
      </w:r>
      <w:r w:rsidR="004F67AF" w:rsidRPr="00952A82">
        <w:rPr>
          <w:rFonts w:ascii="Times New Roman" w:hAnsi="Times New Roman" w:cs="Times New Roman"/>
          <w:sz w:val="24"/>
          <w:szCs w:val="24"/>
        </w:rPr>
        <w:t xml:space="preserve"> </w:t>
      </w:r>
      <w:r w:rsidR="00064948" w:rsidRPr="00952A82">
        <w:rPr>
          <w:rFonts w:ascii="Times New Roman" w:hAnsi="Times New Roman" w:cs="Times New Roman"/>
          <w:sz w:val="24"/>
          <w:szCs w:val="24"/>
        </w:rPr>
        <w:t>in the face of a profound unknown</w:t>
      </w:r>
      <w:r w:rsidR="00015B38" w:rsidRPr="00952A82">
        <w:rPr>
          <w:rFonts w:ascii="Times New Roman" w:hAnsi="Times New Roman" w:cs="Times New Roman"/>
          <w:sz w:val="24"/>
          <w:szCs w:val="24"/>
        </w:rPr>
        <w:t xml:space="preserve">: the true value of </w:t>
      </w:r>
      <w:r w:rsidR="00DE289E" w:rsidRPr="00952A82">
        <w:rPr>
          <w:rFonts w:ascii="Times New Roman" w:hAnsi="Times New Roman" w:cs="Times New Roman"/>
          <w:sz w:val="24"/>
          <w:szCs w:val="24"/>
        </w:rPr>
        <w:t xml:space="preserve">a </w:t>
      </w:r>
      <w:r w:rsidR="00015B38" w:rsidRPr="00952A82">
        <w:rPr>
          <w:rFonts w:ascii="Times New Roman" w:hAnsi="Times New Roman" w:cs="Times New Roman"/>
          <w:sz w:val="24"/>
          <w:szCs w:val="24"/>
        </w:rPr>
        <w:t>person’s vision to the company and it</w:t>
      </w:r>
      <w:r w:rsidR="004F67AF" w:rsidRPr="00952A82">
        <w:rPr>
          <w:rFonts w:ascii="Times New Roman" w:hAnsi="Times New Roman" w:cs="Times New Roman"/>
          <w:sz w:val="24"/>
          <w:szCs w:val="24"/>
        </w:rPr>
        <w:t>s</w:t>
      </w:r>
      <w:r w:rsidR="00015B38" w:rsidRPr="00952A82">
        <w:rPr>
          <w:rFonts w:ascii="Times New Roman" w:hAnsi="Times New Roman" w:cs="Times New Roman"/>
          <w:sz w:val="24"/>
          <w:szCs w:val="24"/>
        </w:rPr>
        <w:t xml:space="preserve"> shareholders</w:t>
      </w:r>
      <w:r w:rsidR="00970D01" w:rsidRPr="00952A82">
        <w:rPr>
          <w:rFonts w:ascii="Times New Roman" w:hAnsi="Times New Roman" w:cs="Times New Roman"/>
          <w:sz w:val="24"/>
          <w:szCs w:val="24"/>
        </w:rPr>
        <w:t xml:space="preserve">. </w:t>
      </w:r>
      <w:r w:rsidR="00064948" w:rsidRPr="00952A82">
        <w:rPr>
          <w:rFonts w:ascii="Times New Roman" w:hAnsi="Times New Roman" w:cs="Times New Roman"/>
          <w:sz w:val="24"/>
          <w:szCs w:val="24"/>
        </w:rPr>
        <w:t>Without a</w:t>
      </w:r>
      <w:r w:rsidR="00CA72C9" w:rsidRPr="00952A82">
        <w:rPr>
          <w:rFonts w:ascii="Times New Roman" w:hAnsi="Times New Roman" w:cs="Times New Roman"/>
          <w:sz w:val="24"/>
          <w:szCs w:val="24"/>
        </w:rPr>
        <w:t>n objective measure</w:t>
      </w:r>
      <w:r w:rsidR="00064948" w:rsidRPr="00952A82">
        <w:rPr>
          <w:rFonts w:ascii="Times New Roman" w:hAnsi="Times New Roman" w:cs="Times New Roman"/>
          <w:sz w:val="24"/>
          <w:szCs w:val="24"/>
        </w:rPr>
        <w:t xml:space="preserve"> of </w:t>
      </w:r>
      <w:r w:rsidR="004F67AF" w:rsidRPr="00952A82">
        <w:rPr>
          <w:rFonts w:ascii="Times New Roman" w:hAnsi="Times New Roman" w:cs="Times New Roman"/>
          <w:sz w:val="24"/>
          <w:szCs w:val="24"/>
        </w:rPr>
        <w:t>this value</w:t>
      </w:r>
      <w:r w:rsidR="00015B38" w:rsidRPr="00952A82">
        <w:rPr>
          <w:rFonts w:ascii="Times New Roman" w:hAnsi="Times New Roman" w:cs="Times New Roman"/>
          <w:sz w:val="24"/>
          <w:szCs w:val="24"/>
        </w:rPr>
        <w:t>, it is challenging for court</w:t>
      </w:r>
      <w:r w:rsidR="00103991">
        <w:rPr>
          <w:rFonts w:ascii="Times New Roman" w:hAnsi="Times New Roman" w:cs="Times New Roman"/>
          <w:sz w:val="24"/>
          <w:szCs w:val="24"/>
        </w:rPr>
        <w:t>s</w:t>
      </w:r>
      <w:r w:rsidR="00015B38" w:rsidRPr="00952A82">
        <w:rPr>
          <w:rFonts w:ascii="Times New Roman" w:hAnsi="Times New Roman" w:cs="Times New Roman"/>
          <w:sz w:val="24"/>
          <w:szCs w:val="24"/>
        </w:rPr>
        <w:t xml:space="preserve"> to review th</w:t>
      </w:r>
      <w:r w:rsidR="00235A34" w:rsidRPr="00952A82">
        <w:rPr>
          <w:rFonts w:ascii="Times New Roman" w:hAnsi="Times New Roman" w:cs="Times New Roman"/>
          <w:sz w:val="24"/>
          <w:szCs w:val="24"/>
        </w:rPr>
        <w:t>e</w:t>
      </w:r>
      <w:r w:rsidR="00015B38" w:rsidRPr="00952A82">
        <w:rPr>
          <w:rFonts w:ascii="Times New Roman" w:hAnsi="Times New Roman" w:cs="Times New Roman"/>
          <w:sz w:val="24"/>
          <w:szCs w:val="24"/>
        </w:rPr>
        <w:t xml:space="preserve"> process </w:t>
      </w:r>
      <w:r w:rsidR="00235A34" w:rsidRPr="00952A82">
        <w:rPr>
          <w:rFonts w:ascii="Times New Roman" w:hAnsi="Times New Roman" w:cs="Times New Roman"/>
          <w:sz w:val="24"/>
          <w:szCs w:val="24"/>
        </w:rPr>
        <w:t>after the fact</w:t>
      </w:r>
      <w:r w:rsidR="007D1D36" w:rsidRPr="00952A82">
        <w:rPr>
          <w:rFonts w:ascii="Times New Roman" w:hAnsi="Times New Roman" w:cs="Times New Roman"/>
          <w:sz w:val="24"/>
          <w:szCs w:val="24"/>
        </w:rPr>
        <w:t xml:space="preserve">, </w:t>
      </w:r>
      <w:r w:rsidR="00633348">
        <w:rPr>
          <w:rFonts w:ascii="Times New Roman" w:hAnsi="Times New Roman" w:cs="Times New Roman"/>
          <w:sz w:val="24"/>
          <w:szCs w:val="24"/>
        </w:rPr>
        <w:t>raising concerns</w:t>
      </w:r>
      <w:r w:rsidR="00103991">
        <w:rPr>
          <w:rFonts w:ascii="Times New Roman" w:hAnsi="Times New Roman" w:cs="Times New Roman"/>
          <w:sz w:val="24"/>
          <w:szCs w:val="24"/>
        </w:rPr>
        <w:t xml:space="preserve"> </w:t>
      </w:r>
      <w:r w:rsidR="00633348">
        <w:rPr>
          <w:rFonts w:ascii="Times New Roman" w:hAnsi="Times New Roman" w:cs="Times New Roman"/>
          <w:sz w:val="24"/>
          <w:szCs w:val="24"/>
        </w:rPr>
        <w:t xml:space="preserve">of </w:t>
      </w:r>
      <w:r w:rsidR="00103991">
        <w:rPr>
          <w:rFonts w:ascii="Times New Roman" w:hAnsi="Times New Roman" w:cs="Times New Roman"/>
          <w:sz w:val="24"/>
          <w:szCs w:val="24"/>
        </w:rPr>
        <w:t>hindsight bias</w:t>
      </w:r>
      <w:r w:rsidR="00D417FB" w:rsidRPr="00952A82">
        <w:rPr>
          <w:rStyle w:val="FootnoteReference"/>
          <w:rFonts w:ascii="Times New Roman" w:hAnsi="Times New Roman" w:cs="Times New Roman"/>
          <w:sz w:val="24"/>
          <w:szCs w:val="24"/>
        </w:rPr>
        <w:footnoteReference w:id="43"/>
      </w:r>
      <w:r w:rsidR="00103991">
        <w:rPr>
          <w:rFonts w:ascii="Times New Roman" w:hAnsi="Times New Roman" w:cs="Times New Roman"/>
          <w:sz w:val="24"/>
          <w:szCs w:val="24"/>
        </w:rPr>
        <w:t xml:space="preserve"> and </w:t>
      </w:r>
      <w:r w:rsidR="007D1D36" w:rsidRPr="00952A82">
        <w:rPr>
          <w:rFonts w:ascii="Times New Roman" w:hAnsi="Times New Roman" w:cs="Times New Roman"/>
          <w:sz w:val="24"/>
          <w:szCs w:val="24"/>
        </w:rPr>
        <w:t xml:space="preserve">leading </w:t>
      </w:r>
      <w:r w:rsidR="00633348">
        <w:rPr>
          <w:rFonts w:ascii="Times New Roman" w:hAnsi="Times New Roman" w:cs="Times New Roman"/>
          <w:sz w:val="24"/>
          <w:szCs w:val="24"/>
        </w:rPr>
        <w:t>courts</w:t>
      </w:r>
      <w:r w:rsidR="00633348" w:rsidRPr="00952A82">
        <w:rPr>
          <w:rFonts w:ascii="Times New Roman" w:hAnsi="Times New Roman" w:cs="Times New Roman"/>
          <w:sz w:val="24"/>
          <w:szCs w:val="24"/>
        </w:rPr>
        <w:t xml:space="preserve"> </w:t>
      </w:r>
      <w:r w:rsidR="007D1D36" w:rsidRPr="00952A82">
        <w:rPr>
          <w:rFonts w:ascii="Times New Roman" w:hAnsi="Times New Roman" w:cs="Times New Roman"/>
          <w:sz w:val="24"/>
          <w:szCs w:val="24"/>
        </w:rPr>
        <w:t xml:space="preserve">to rely on </w:t>
      </w:r>
      <w:r w:rsidR="00103991">
        <w:rPr>
          <w:rFonts w:ascii="Times New Roman" w:hAnsi="Times New Roman" w:cs="Times New Roman"/>
          <w:sz w:val="24"/>
          <w:szCs w:val="24"/>
        </w:rPr>
        <w:t xml:space="preserve">indirect </w:t>
      </w:r>
      <w:r w:rsidR="007D1D36" w:rsidRPr="00952A82">
        <w:rPr>
          <w:rFonts w:ascii="Times New Roman" w:hAnsi="Times New Roman" w:cs="Times New Roman"/>
          <w:sz w:val="24"/>
          <w:szCs w:val="24"/>
        </w:rPr>
        <w:t>measures of fairness, such as whether the negotiation was sufficiently “adversarial</w:t>
      </w:r>
      <w:r w:rsidR="00103991">
        <w:rPr>
          <w:rFonts w:ascii="Times New Roman" w:hAnsi="Times New Roman" w:cs="Times New Roman"/>
          <w:sz w:val="24"/>
          <w:szCs w:val="24"/>
        </w:rPr>
        <w:t>.</w:t>
      </w:r>
      <w:r w:rsidR="007D1D36" w:rsidRPr="00952A82">
        <w:rPr>
          <w:rFonts w:ascii="Times New Roman" w:hAnsi="Times New Roman" w:cs="Times New Roman"/>
          <w:sz w:val="24"/>
          <w:szCs w:val="24"/>
        </w:rPr>
        <w:t>”</w:t>
      </w:r>
    </w:p>
    <w:p w14:paraId="536E54BE" w14:textId="031195D9" w:rsidR="00597088" w:rsidRPr="0042152F" w:rsidRDefault="0038489C"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 yet, entire fairness review is not inevitable. </w:t>
      </w:r>
      <w:r w:rsidR="00924551">
        <w:rPr>
          <w:rFonts w:ascii="Times New Roman" w:hAnsi="Times New Roman" w:cs="Times New Roman"/>
          <w:sz w:val="24"/>
          <w:szCs w:val="24"/>
        </w:rPr>
        <w:t xml:space="preserve">A decade ago, </w:t>
      </w:r>
      <w:r w:rsidR="00651D31">
        <w:rPr>
          <w:rFonts w:ascii="Times New Roman" w:hAnsi="Times New Roman" w:cs="Times New Roman"/>
          <w:sz w:val="24"/>
          <w:szCs w:val="24"/>
        </w:rPr>
        <w:t xml:space="preserve">Delaware courts provided </w:t>
      </w:r>
      <w:r w:rsidR="00902D7A" w:rsidRPr="0042152F">
        <w:rPr>
          <w:rFonts w:ascii="Times New Roman" w:hAnsi="Times New Roman" w:cs="Times New Roman"/>
          <w:sz w:val="24"/>
          <w:szCs w:val="24"/>
        </w:rPr>
        <w:t xml:space="preserve">a </w:t>
      </w:r>
      <w:r w:rsidR="00970D01" w:rsidRPr="0042152F">
        <w:rPr>
          <w:rFonts w:ascii="Times New Roman" w:hAnsi="Times New Roman" w:cs="Times New Roman"/>
          <w:sz w:val="24"/>
          <w:szCs w:val="24"/>
        </w:rPr>
        <w:t xml:space="preserve">means </w:t>
      </w:r>
      <w:r w:rsidR="00902D7A" w:rsidRPr="0042152F">
        <w:rPr>
          <w:rFonts w:ascii="Times New Roman" w:hAnsi="Times New Roman" w:cs="Times New Roman"/>
          <w:sz w:val="24"/>
          <w:szCs w:val="24"/>
        </w:rPr>
        <w:t xml:space="preserve">for transactional planners to </w:t>
      </w:r>
      <w:r w:rsidR="00DB2B78" w:rsidRPr="0042152F">
        <w:rPr>
          <w:rFonts w:ascii="Times New Roman" w:hAnsi="Times New Roman" w:cs="Times New Roman"/>
          <w:sz w:val="24"/>
          <w:szCs w:val="24"/>
        </w:rPr>
        <w:t>contract around</w:t>
      </w:r>
      <w:r w:rsidR="000E589C" w:rsidRPr="0042152F">
        <w:rPr>
          <w:rFonts w:ascii="Times New Roman" w:hAnsi="Times New Roman" w:cs="Times New Roman"/>
          <w:sz w:val="24"/>
          <w:szCs w:val="24"/>
        </w:rPr>
        <w:t xml:space="preserve"> entire fairness</w:t>
      </w:r>
      <w:r w:rsidR="00902D7A" w:rsidRPr="0042152F">
        <w:rPr>
          <w:rFonts w:ascii="Times New Roman" w:hAnsi="Times New Roman" w:cs="Times New Roman"/>
          <w:sz w:val="24"/>
          <w:szCs w:val="24"/>
        </w:rPr>
        <w:t xml:space="preserve"> review in </w:t>
      </w:r>
      <w:r w:rsidR="00902D7A" w:rsidRPr="0042152F">
        <w:rPr>
          <w:rFonts w:ascii="Times New Roman" w:hAnsi="Times New Roman" w:cs="Times New Roman"/>
          <w:i/>
          <w:iCs/>
          <w:sz w:val="24"/>
          <w:szCs w:val="24"/>
        </w:rPr>
        <w:t>Khan v. M&amp;F Worldwide Corp.</w:t>
      </w:r>
      <w:r w:rsidR="00902D7A" w:rsidRPr="0042152F">
        <w:rPr>
          <w:rFonts w:ascii="Times New Roman" w:hAnsi="Times New Roman" w:cs="Times New Roman"/>
          <w:sz w:val="24"/>
          <w:szCs w:val="24"/>
        </w:rPr>
        <w:t xml:space="preserve"> (“</w:t>
      </w:r>
      <w:r w:rsidR="00902D7A" w:rsidRPr="0042152F">
        <w:rPr>
          <w:rFonts w:ascii="Times New Roman" w:hAnsi="Times New Roman" w:cs="Times New Roman"/>
          <w:i/>
          <w:iCs/>
          <w:sz w:val="24"/>
          <w:szCs w:val="24"/>
        </w:rPr>
        <w:t>MFW</w:t>
      </w:r>
      <w:r w:rsidR="00902D7A" w:rsidRPr="0042152F">
        <w:rPr>
          <w:rFonts w:ascii="Times New Roman" w:hAnsi="Times New Roman" w:cs="Times New Roman"/>
          <w:sz w:val="24"/>
          <w:szCs w:val="24"/>
        </w:rPr>
        <w:t>”).</w:t>
      </w:r>
      <w:r w:rsidR="00E31DC9" w:rsidRPr="0042152F">
        <w:rPr>
          <w:rStyle w:val="FootnoteReference"/>
          <w:rFonts w:ascii="Times New Roman" w:hAnsi="Times New Roman" w:cs="Times New Roman"/>
          <w:sz w:val="24"/>
          <w:szCs w:val="24"/>
        </w:rPr>
        <w:footnoteReference w:id="44"/>
      </w:r>
      <w:r w:rsidR="00902D7A" w:rsidRPr="0042152F">
        <w:rPr>
          <w:rFonts w:ascii="Times New Roman" w:hAnsi="Times New Roman" w:cs="Times New Roman"/>
          <w:sz w:val="24"/>
          <w:szCs w:val="24"/>
        </w:rPr>
        <w:t xml:space="preserve"> </w:t>
      </w:r>
      <w:r w:rsidR="0073417A">
        <w:rPr>
          <w:rFonts w:ascii="Times New Roman" w:hAnsi="Times New Roman" w:cs="Times New Roman"/>
          <w:sz w:val="24"/>
          <w:szCs w:val="24"/>
        </w:rPr>
        <w:t xml:space="preserve">Under </w:t>
      </w:r>
      <w:r w:rsidR="0073417A" w:rsidRPr="0073417A">
        <w:rPr>
          <w:rFonts w:ascii="Times New Roman" w:hAnsi="Times New Roman" w:cs="Times New Roman"/>
          <w:i/>
          <w:iCs/>
          <w:sz w:val="24"/>
          <w:szCs w:val="24"/>
        </w:rPr>
        <w:t>MFW</w:t>
      </w:r>
      <w:r w:rsidR="0073417A">
        <w:rPr>
          <w:rFonts w:ascii="Times New Roman" w:hAnsi="Times New Roman" w:cs="Times New Roman"/>
          <w:sz w:val="24"/>
          <w:szCs w:val="24"/>
        </w:rPr>
        <w:t>, D</w:t>
      </w:r>
      <w:r w:rsidR="00902D7A" w:rsidRPr="0073417A">
        <w:rPr>
          <w:rFonts w:ascii="Times New Roman" w:hAnsi="Times New Roman" w:cs="Times New Roman"/>
          <w:sz w:val="24"/>
          <w:szCs w:val="24"/>
        </w:rPr>
        <w:t>elaware</w:t>
      </w:r>
      <w:r w:rsidR="00902D7A" w:rsidRPr="0042152F">
        <w:rPr>
          <w:rFonts w:ascii="Times New Roman" w:hAnsi="Times New Roman" w:cs="Times New Roman"/>
          <w:sz w:val="24"/>
          <w:szCs w:val="24"/>
        </w:rPr>
        <w:t xml:space="preserve"> courts will </w:t>
      </w:r>
      <w:r w:rsidR="0073417A">
        <w:rPr>
          <w:rFonts w:ascii="Times New Roman" w:hAnsi="Times New Roman" w:cs="Times New Roman"/>
          <w:sz w:val="24"/>
          <w:szCs w:val="24"/>
        </w:rPr>
        <w:t>apply the</w:t>
      </w:r>
      <w:r w:rsidR="00902D7A" w:rsidRPr="0042152F">
        <w:rPr>
          <w:rFonts w:ascii="Times New Roman" w:hAnsi="Times New Roman" w:cs="Times New Roman"/>
          <w:sz w:val="24"/>
          <w:szCs w:val="24"/>
        </w:rPr>
        <w:t xml:space="preserve"> deferential business judgment standard of review if controlling shareholders voluntarily condition the execution of a self-dealing transaction on the approval of a special committee</w:t>
      </w:r>
      <w:r w:rsidR="00651D31">
        <w:rPr>
          <w:rFonts w:ascii="Times New Roman" w:hAnsi="Times New Roman" w:cs="Times New Roman"/>
          <w:sz w:val="24"/>
          <w:szCs w:val="24"/>
        </w:rPr>
        <w:t xml:space="preserve"> </w:t>
      </w:r>
      <w:r w:rsidR="00902D7A" w:rsidRPr="0042152F">
        <w:rPr>
          <w:rFonts w:ascii="Times New Roman" w:hAnsi="Times New Roman" w:cs="Times New Roman"/>
          <w:sz w:val="24"/>
          <w:szCs w:val="24"/>
        </w:rPr>
        <w:t xml:space="preserve">and </w:t>
      </w:r>
      <w:r w:rsidR="00651D31">
        <w:rPr>
          <w:rFonts w:ascii="Times New Roman" w:hAnsi="Times New Roman" w:cs="Times New Roman"/>
          <w:sz w:val="24"/>
          <w:szCs w:val="24"/>
        </w:rPr>
        <w:t xml:space="preserve">an affirmative vote of </w:t>
      </w:r>
      <w:r w:rsidR="00902D7A" w:rsidRPr="0042152F">
        <w:rPr>
          <w:rFonts w:ascii="Times New Roman" w:hAnsi="Times New Roman" w:cs="Times New Roman"/>
          <w:sz w:val="24"/>
          <w:szCs w:val="24"/>
        </w:rPr>
        <w:t xml:space="preserve">a majority of </w:t>
      </w:r>
      <w:r w:rsidR="00421734">
        <w:rPr>
          <w:rFonts w:ascii="Times New Roman" w:hAnsi="Times New Roman" w:cs="Times New Roman"/>
          <w:sz w:val="24"/>
          <w:szCs w:val="24"/>
        </w:rPr>
        <w:t xml:space="preserve">properly </w:t>
      </w:r>
      <w:r w:rsidR="00902D7A" w:rsidRPr="0042152F">
        <w:rPr>
          <w:rFonts w:ascii="Times New Roman" w:hAnsi="Times New Roman" w:cs="Times New Roman"/>
          <w:sz w:val="24"/>
          <w:szCs w:val="24"/>
        </w:rPr>
        <w:t>informed minority shareholders</w:t>
      </w:r>
      <w:r w:rsidR="00651D31">
        <w:rPr>
          <w:rFonts w:ascii="Times New Roman" w:hAnsi="Times New Roman" w:cs="Times New Roman"/>
          <w:sz w:val="24"/>
          <w:szCs w:val="24"/>
        </w:rPr>
        <w:t xml:space="preserve"> </w:t>
      </w:r>
      <w:r w:rsidR="00747A2F">
        <w:rPr>
          <w:rFonts w:ascii="Times New Roman" w:hAnsi="Times New Roman" w:cs="Times New Roman"/>
          <w:sz w:val="24"/>
          <w:szCs w:val="24"/>
        </w:rPr>
        <w:t>(</w:t>
      </w:r>
      <w:r w:rsidR="0073417A">
        <w:rPr>
          <w:rFonts w:ascii="Times New Roman" w:hAnsi="Times New Roman" w:cs="Times New Roman"/>
          <w:sz w:val="24"/>
          <w:szCs w:val="24"/>
        </w:rPr>
        <w:t xml:space="preserve">or the </w:t>
      </w:r>
      <w:r w:rsidR="00651D31">
        <w:rPr>
          <w:rFonts w:ascii="Times New Roman" w:hAnsi="Times New Roman" w:cs="Times New Roman"/>
          <w:sz w:val="24"/>
          <w:szCs w:val="24"/>
        </w:rPr>
        <w:t>“majority of minority”</w:t>
      </w:r>
      <w:r w:rsidR="0073417A">
        <w:rPr>
          <w:rFonts w:ascii="Times New Roman" w:hAnsi="Times New Roman" w:cs="Times New Roman"/>
          <w:sz w:val="24"/>
          <w:szCs w:val="24"/>
        </w:rPr>
        <w:t xml:space="preserve"> condition</w:t>
      </w:r>
      <w:r w:rsidR="00651D31">
        <w:rPr>
          <w:rFonts w:ascii="Times New Roman" w:hAnsi="Times New Roman" w:cs="Times New Roman"/>
          <w:sz w:val="24"/>
          <w:szCs w:val="24"/>
        </w:rPr>
        <w:t>)</w:t>
      </w:r>
      <w:r w:rsidR="00902D7A" w:rsidRPr="0042152F">
        <w:rPr>
          <w:rFonts w:ascii="Times New Roman" w:hAnsi="Times New Roman" w:cs="Times New Roman"/>
          <w:sz w:val="24"/>
          <w:szCs w:val="24"/>
        </w:rPr>
        <w:t>.</w:t>
      </w:r>
      <w:r w:rsidR="00902D7A" w:rsidRPr="0042152F">
        <w:rPr>
          <w:rStyle w:val="FootnoteReference"/>
          <w:rFonts w:ascii="Times New Roman" w:hAnsi="Times New Roman" w:cs="Times New Roman"/>
          <w:sz w:val="24"/>
          <w:szCs w:val="24"/>
        </w:rPr>
        <w:footnoteReference w:id="45"/>
      </w:r>
      <w:r w:rsidR="00CC4950" w:rsidRPr="0042152F">
        <w:rPr>
          <w:rFonts w:ascii="Times New Roman" w:hAnsi="Times New Roman" w:cs="Times New Roman"/>
          <w:sz w:val="24"/>
          <w:szCs w:val="24"/>
        </w:rPr>
        <w:t xml:space="preserve"> </w:t>
      </w:r>
      <w:r w:rsidR="00902D7A" w:rsidRPr="0042152F">
        <w:rPr>
          <w:rFonts w:ascii="Times New Roman" w:hAnsi="Times New Roman" w:cs="Times New Roman"/>
          <w:sz w:val="24"/>
          <w:szCs w:val="24"/>
        </w:rPr>
        <w:t xml:space="preserve">We refer to these </w:t>
      </w:r>
      <w:r w:rsidR="00651D31">
        <w:rPr>
          <w:rFonts w:ascii="Times New Roman" w:hAnsi="Times New Roman" w:cs="Times New Roman"/>
          <w:sz w:val="24"/>
          <w:szCs w:val="24"/>
        </w:rPr>
        <w:t xml:space="preserve">two cleansing mechanisms </w:t>
      </w:r>
      <w:r w:rsidR="00902D7A" w:rsidRPr="0042152F">
        <w:rPr>
          <w:rFonts w:ascii="Times New Roman" w:hAnsi="Times New Roman" w:cs="Times New Roman"/>
          <w:sz w:val="24"/>
          <w:szCs w:val="24"/>
        </w:rPr>
        <w:t>as the “</w:t>
      </w:r>
      <w:r w:rsidR="00902D7A" w:rsidRPr="0042152F">
        <w:rPr>
          <w:rFonts w:ascii="Times New Roman" w:hAnsi="Times New Roman" w:cs="Times New Roman"/>
          <w:i/>
          <w:iCs/>
          <w:sz w:val="24"/>
          <w:szCs w:val="24"/>
        </w:rPr>
        <w:t>MFW</w:t>
      </w:r>
      <w:r w:rsidR="00902D7A" w:rsidRPr="0042152F">
        <w:rPr>
          <w:rFonts w:ascii="Times New Roman" w:hAnsi="Times New Roman" w:cs="Times New Roman"/>
          <w:sz w:val="24"/>
          <w:szCs w:val="24"/>
        </w:rPr>
        <w:t xml:space="preserve"> conditions.”</w:t>
      </w:r>
      <w:r w:rsidR="00597088" w:rsidRPr="0042152F">
        <w:rPr>
          <w:rFonts w:ascii="Times New Roman" w:hAnsi="Times New Roman" w:cs="Times New Roman"/>
          <w:sz w:val="24"/>
          <w:szCs w:val="24"/>
        </w:rPr>
        <w:t xml:space="preserve"> </w:t>
      </w:r>
    </w:p>
    <w:p w14:paraId="35B96B46" w14:textId="009E6F6A" w:rsidR="00BE0D02" w:rsidRPr="0042152F" w:rsidRDefault="00405F6B" w:rsidP="002A3AE4">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At first </w:t>
      </w:r>
      <w:r w:rsidR="00BE0D02" w:rsidRPr="0042152F">
        <w:rPr>
          <w:rFonts w:ascii="Times New Roman" w:hAnsi="Times New Roman" w:cs="Times New Roman"/>
          <w:sz w:val="24"/>
          <w:szCs w:val="24"/>
        </w:rPr>
        <w:t>blush</w:t>
      </w:r>
      <w:r w:rsidRPr="0042152F">
        <w:rPr>
          <w:rFonts w:ascii="Times New Roman" w:hAnsi="Times New Roman" w:cs="Times New Roman"/>
          <w:sz w:val="24"/>
          <w:szCs w:val="24"/>
        </w:rPr>
        <w:t xml:space="preserve">, this regime ostensibly sidesteps the problems inherent in judicial valuation. Independent directors negotiate with the controller, minority shareholders vote on the deal, and courts ensure the approval process was </w:t>
      </w:r>
      <w:r w:rsidR="00421734">
        <w:rPr>
          <w:rFonts w:ascii="Times New Roman" w:hAnsi="Times New Roman" w:cs="Times New Roman"/>
          <w:sz w:val="24"/>
          <w:szCs w:val="24"/>
        </w:rPr>
        <w:t xml:space="preserve">objective, </w:t>
      </w:r>
      <w:r w:rsidRPr="0042152F">
        <w:rPr>
          <w:rFonts w:ascii="Times New Roman" w:hAnsi="Times New Roman" w:cs="Times New Roman"/>
          <w:sz w:val="24"/>
          <w:szCs w:val="24"/>
        </w:rPr>
        <w:t>uncoerced</w:t>
      </w:r>
      <w:r w:rsidR="00421734">
        <w:rPr>
          <w:rFonts w:ascii="Times New Roman" w:hAnsi="Times New Roman" w:cs="Times New Roman"/>
          <w:sz w:val="24"/>
          <w:szCs w:val="24"/>
        </w:rPr>
        <w:t>,</w:t>
      </w:r>
      <w:r w:rsidR="00F40084" w:rsidRPr="0042152F">
        <w:rPr>
          <w:rFonts w:ascii="Times New Roman" w:hAnsi="Times New Roman" w:cs="Times New Roman"/>
          <w:sz w:val="24"/>
          <w:szCs w:val="24"/>
        </w:rPr>
        <w:t xml:space="preserve"> and </w:t>
      </w:r>
      <w:r w:rsidRPr="0042152F">
        <w:rPr>
          <w:rFonts w:ascii="Times New Roman" w:hAnsi="Times New Roman" w:cs="Times New Roman"/>
          <w:sz w:val="24"/>
          <w:szCs w:val="24"/>
        </w:rPr>
        <w:t>informed.</w:t>
      </w:r>
      <w:r w:rsidR="00E31DC9" w:rsidRPr="0042152F">
        <w:rPr>
          <w:rStyle w:val="FootnoteReference"/>
          <w:rFonts w:ascii="Times New Roman" w:hAnsi="Times New Roman" w:cs="Times New Roman"/>
          <w:sz w:val="24"/>
          <w:szCs w:val="24"/>
        </w:rPr>
        <w:footnoteReference w:id="46"/>
      </w:r>
      <w:r w:rsidRPr="0042152F">
        <w:rPr>
          <w:rFonts w:ascii="Times New Roman" w:hAnsi="Times New Roman" w:cs="Times New Roman"/>
          <w:sz w:val="24"/>
          <w:szCs w:val="24"/>
        </w:rPr>
        <w:t xml:space="preserve"> </w:t>
      </w:r>
      <w:r w:rsidR="00BE0D02" w:rsidRPr="0042152F">
        <w:rPr>
          <w:rFonts w:ascii="Times New Roman" w:hAnsi="Times New Roman" w:cs="Times New Roman"/>
          <w:sz w:val="24"/>
          <w:szCs w:val="24"/>
        </w:rPr>
        <w:t xml:space="preserve">However, when </w:t>
      </w:r>
      <w:r w:rsidR="00307ED0">
        <w:rPr>
          <w:rFonts w:ascii="Times New Roman" w:hAnsi="Times New Roman" w:cs="Times New Roman"/>
          <w:sz w:val="24"/>
          <w:szCs w:val="24"/>
        </w:rPr>
        <w:t>even on</w:t>
      </w:r>
      <w:r w:rsidR="00CD3550">
        <w:rPr>
          <w:rFonts w:ascii="Times New Roman" w:hAnsi="Times New Roman" w:cs="Times New Roman"/>
          <w:sz w:val="24"/>
          <w:szCs w:val="24"/>
        </w:rPr>
        <w:t>e</w:t>
      </w:r>
      <w:r w:rsidR="00307ED0">
        <w:rPr>
          <w:rFonts w:ascii="Times New Roman" w:hAnsi="Times New Roman" w:cs="Times New Roman"/>
          <w:sz w:val="24"/>
          <w:szCs w:val="24"/>
        </w:rPr>
        <w:t xml:space="preserve"> of </w:t>
      </w:r>
      <w:r w:rsidR="00BE0D02" w:rsidRPr="0042152F">
        <w:rPr>
          <w:rFonts w:ascii="Times New Roman" w:hAnsi="Times New Roman" w:cs="Times New Roman"/>
          <w:sz w:val="24"/>
          <w:szCs w:val="24"/>
        </w:rPr>
        <w:t xml:space="preserve">the </w:t>
      </w:r>
      <w:r w:rsidR="00BE0D02" w:rsidRPr="0042152F">
        <w:rPr>
          <w:rFonts w:ascii="Times New Roman" w:hAnsi="Times New Roman" w:cs="Times New Roman"/>
          <w:i/>
          <w:iCs/>
          <w:sz w:val="24"/>
          <w:szCs w:val="24"/>
        </w:rPr>
        <w:t>MFW</w:t>
      </w:r>
      <w:r w:rsidR="00BE0D02" w:rsidRPr="0042152F">
        <w:rPr>
          <w:rFonts w:ascii="Times New Roman" w:hAnsi="Times New Roman" w:cs="Times New Roman"/>
          <w:sz w:val="24"/>
          <w:szCs w:val="24"/>
        </w:rPr>
        <w:t xml:space="preserve"> conditions fail, courts must revert to valuing the transaction. </w:t>
      </w:r>
      <w:r w:rsidR="00081DF4">
        <w:rPr>
          <w:rFonts w:ascii="Times New Roman" w:hAnsi="Times New Roman" w:cs="Times New Roman"/>
          <w:sz w:val="24"/>
          <w:szCs w:val="24"/>
        </w:rPr>
        <w:t xml:space="preserve">Specifically, if only one cleansing mechanisms is used, the transaction is still subject to the entire fairness review, but the burden shifts to the plaintiff to show the unfairness of the transaction. </w:t>
      </w:r>
      <w:r w:rsidR="00BE0D02" w:rsidRPr="0042152F">
        <w:rPr>
          <w:rFonts w:ascii="Times New Roman" w:hAnsi="Times New Roman" w:cs="Times New Roman"/>
          <w:sz w:val="24"/>
          <w:szCs w:val="24"/>
        </w:rPr>
        <w:t>A</w:t>
      </w:r>
      <w:r w:rsidR="00DF5BE3" w:rsidRPr="0042152F">
        <w:rPr>
          <w:rFonts w:ascii="Times New Roman" w:hAnsi="Times New Roman" w:cs="Times New Roman"/>
          <w:sz w:val="24"/>
          <w:szCs w:val="24"/>
        </w:rPr>
        <w:t>nd a</w:t>
      </w:r>
      <w:r w:rsidR="00BE0D02" w:rsidRPr="0042152F">
        <w:rPr>
          <w:rFonts w:ascii="Times New Roman" w:hAnsi="Times New Roman" w:cs="Times New Roman"/>
          <w:sz w:val="24"/>
          <w:szCs w:val="24"/>
        </w:rPr>
        <w:t xml:space="preserve">s we explain </w:t>
      </w:r>
      <w:r w:rsidR="00970D01" w:rsidRPr="0042152F">
        <w:rPr>
          <w:rFonts w:ascii="Times New Roman" w:hAnsi="Times New Roman" w:cs="Times New Roman"/>
          <w:sz w:val="24"/>
          <w:szCs w:val="24"/>
        </w:rPr>
        <w:t xml:space="preserve">in Part </w:t>
      </w:r>
      <w:r w:rsidR="00006946" w:rsidRPr="0042152F">
        <w:rPr>
          <w:rFonts w:ascii="Times New Roman" w:hAnsi="Times New Roman" w:cs="Times New Roman"/>
          <w:sz w:val="24"/>
          <w:szCs w:val="24"/>
        </w:rPr>
        <w:t>II</w:t>
      </w:r>
      <w:r w:rsidR="00BE0D02" w:rsidRPr="0042152F">
        <w:rPr>
          <w:rFonts w:ascii="Times New Roman" w:hAnsi="Times New Roman" w:cs="Times New Roman"/>
          <w:sz w:val="24"/>
          <w:szCs w:val="24"/>
        </w:rPr>
        <w:t>, since th</w:t>
      </w:r>
      <w:r w:rsidR="00307ED0">
        <w:rPr>
          <w:rFonts w:ascii="Times New Roman" w:hAnsi="Times New Roman" w:cs="Times New Roman"/>
          <w:sz w:val="24"/>
          <w:szCs w:val="24"/>
        </w:rPr>
        <w:t xml:space="preserve">e </w:t>
      </w:r>
      <w:r w:rsidR="00307ED0" w:rsidRPr="002F27C9">
        <w:rPr>
          <w:rFonts w:ascii="Times New Roman" w:hAnsi="Times New Roman" w:cs="Times New Roman"/>
          <w:i/>
          <w:iCs/>
          <w:sz w:val="24"/>
          <w:szCs w:val="24"/>
        </w:rPr>
        <w:t>MFW</w:t>
      </w:r>
      <w:r w:rsidR="00BE0D02" w:rsidRPr="0042152F">
        <w:rPr>
          <w:rFonts w:ascii="Times New Roman" w:hAnsi="Times New Roman" w:cs="Times New Roman"/>
          <w:sz w:val="24"/>
          <w:szCs w:val="24"/>
        </w:rPr>
        <w:t xml:space="preserve"> decision, </w:t>
      </w:r>
      <w:r w:rsidR="00275374" w:rsidRPr="0042152F">
        <w:rPr>
          <w:rFonts w:ascii="Times New Roman" w:hAnsi="Times New Roman" w:cs="Times New Roman"/>
          <w:sz w:val="24"/>
          <w:szCs w:val="24"/>
        </w:rPr>
        <w:t xml:space="preserve">a significant fraction of </w:t>
      </w:r>
      <w:r w:rsidR="00481445" w:rsidRPr="0042152F">
        <w:rPr>
          <w:rFonts w:ascii="Times New Roman" w:hAnsi="Times New Roman" w:cs="Times New Roman"/>
          <w:sz w:val="24"/>
          <w:szCs w:val="24"/>
        </w:rPr>
        <w:t xml:space="preserve">companies </w:t>
      </w:r>
      <w:r w:rsidR="00275374" w:rsidRPr="0042152F">
        <w:rPr>
          <w:rFonts w:ascii="Times New Roman" w:hAnsi="Times New Roman" w:cs="Times New Roman"/>
          <w:sz w:val="24"/>
          <w:szCs w:val="24"/>
        </w:rPr>
        <w:t>that</w:t>
      </w:r>
      <w:r w:rsidR="004C550F">
        <w:rPr>
          <w:rFonts w:ascii="Times New Roman" w:hAnsi="Times New Roman" w:cs="Times New Roman"/>
          <w:sz w:val="24"/>
          <w:szCs w:val="24"/>
        </w:rPr>
        <w:t xml:space="preserve"> have</w:t>
      </w:r>
      <w:r w:rsidR="00275374" w:rsidRPr="0042152F">
        <w:rPr>
          <w:rFonts w:ascii="Times New Roman" w:hAnsi="Times New Roman" w:cs="Times New Roman"/>
          <w:sz w:val="24"/>
          <w:szCs w:val="24"/>
        </w:rPr>
        <w:t xml:space="preserve"> </w:t>
      </w:r>
      <w:r w:rsidR="00AB1FC2" w:rsidRPr="0042152F">
        <w:rPr>
          <w:rFonts w:ascii="Times New Roman" w:hAnsi="Times New Roman" w:cs="Times New Roman"/>
          <w:sz w:val="24"/>
          <w:szCs w:val="24"/>
        </w:rPr>
        <w:t xml:space="preserve">attempted to adopt </w:t>
      </w:r>
      <w:r w:rsidR="00AB1FC2" w:rsidRPr="0042152F">
        <w:rPr>
          <w:rFonts w:ascii="Times New Roman" w:hAnsi="Times New Roman" w:cs="Times New Roman"/>
          <w:sz w:val="24"/>
          <w:szCs w:val="24"/>
        </w:rPr>
        <w:lastRenderedPageBreak/>
        <w:t>the</w:t>
      </w:r>
      <w:r w:rsidR="00BE0D02" w:rsidRPr="0042152F">
        <w:rPr>
          <w:rFonts w:ascii="Times New Roman" w:hAnsi="Times New Roman" w:cs="Times New Roman"/>
          <w:sz w:val="24"/>
          <w:szCs w:val="24"/>
        </w:rPr>
        <w:t xml:space="preserve"> </w:t>
      </w:r>
      <w:r w:rsidR="00BE0D02" w:rsidRPr="0042152F">
        <w:rPr>
          <w:rFonts w:ascii="Times New Roman" w:hAnsi="Times New Roman" w:cs="Times New Roman"/>
          <w:i/>
          <w:iCs/>
          <w:sz w:val="24"/>
          <w:szCs w:val="24"/>
        </w:rPr>
        <w:t>MFW</w:t>
      </w:r>
      <w:r w:rsidR="00BE0D02" w:rsidRPr="0042152F">
        <w:rPr>
          <w:rFonts w:ascii="Times New Roman" w:hAnsi="Times New Roman" w:cs="Times New Roman"/>
          <w:sz w:val="24"/>
          <w:szCs w:val="24"/>
        </w:rPr>
        <w:t xml:space="preserve"> framework </w:t>
      </w:r>
      <w:r w:rsidR="00864CFF" w:rsidRPr="0042152F">
        <w:rPr>
          <w:rFonts w:ascii="Times New Roman" w:hAnsi="Times New Roman" w:cs="Times New Roman"/>
          <w:sz w:val="24"/>
          <w:szCs w:val="24"/>
        </w:rPr>
        <w:t xml:space="preserve">failed </w:t>
      </w:r>
      <w:r w:rsidR="00AB1FC2" w:rsidRPr="0042152F">
        <w:rPr>
          <w:rFonts w:ascii="Times New Roman" w:hAnsi="Times New Roman" w:cs="Times New Roman"/>
          <w:sz w:val="24"/>
          <w:szCs w:val="24"/>
        </w:rPr>
        <w:t xml:space="preserve">to secure </w:t>
      </w:r>
      <w:r w:rsidR="00421734">
        <w:rPr>
          <w:rFonts w:ascii="Times New Roman" w:hAnsi="Times New Roman" w:cs="Times New Roman"/>
          <w:sz w:val="24"/>
          <w:szCs w:val="24"/>
        </w:rPr>
        <w:t>its</w:t>
      </w:r>
      <w:r w:rsidR="00AB1FC2" w:rsidRPr="0042152F">
        <w:rPr>
          <w:rFonts w:ascii="Times New Roman" w:hAnsi="Times New Roman" w:cs="Times New Roman"/>
          <w:sz w:val="24"/>
          <w:szCs w:val="24"/>
        </w:rPr>
        <w:t xml:space="preserve"> benefits</w:t>
      </w:r>
      <w:r w:rsidR="004C550F">
        <w:rPr>
          <w:rFonts w:ascii="Times New Roman" w:hAnsi="Times New Roman" w:cs="Times New Roman"/>
          <w:sz w:val="24"/>
          <w:szCs w:val="24"/>
        </w:rPr>
        <w:t>.</w:t>
      </w:r>
      <w:r w:rsidR="00864CFF" w:rsidRPr="0042152F">
        <w:rPr>
          <w:rStyle w:val="FootnoteReference"/>
          <w:rFonts w:ascii="Times New Roman" w:hAnsi="Times New Roman" w:cs="Times New Roman"/>
          <w:sz w:val="24"/>
          <w:szCs w:val="24"/>
        </w:rPr>
        <w:footnoteReference w:id="47"/>
      </w:r>
      <w:r w:rsidR="00BE0D02" w:rsidRPr="0042152F">
        <w:rPr>
          <w:rFonts w:ascii="Times New Roman" w:hAnsi="Times New Roman" w:cs="Times New Roman"/>
          <w:sz w:val="24"/>
          <w:szCs w:val="24"/>
        </w:rPr>
        <w:t xml:space="preserve"> </w:t>
      </w:r>
      <w:r w:rsidR="004C550F">
        <w:rPr>
          <w:rFonts w:ascii="Times New Roman" w:hAnsi="Times New Roman" w:cs="Times New Roman"/>
          <w:sz w:val="24"/>
          <w:szCs w:val="24"/>
        </w:rPr>
        <w:t>Specifically, plaintiff</w:t>
      </w:r>
      <w:r w:rsidR="00EC6352">
        <w:rPr>
          <w:rFonts w:ascii="Times New Roman" w:hAnsi="Times New Roman" w:cs="Times New Roman"/>
          <w:sz w:val="24"/>
          <w:szCs w:val="24"/>
        </w:rPr>
        <w:t>’</w:t>
      </w:r>
      <w:r w:rsidR="004C550F">
        <w:rPr>
          <w:rFonts w:ascii="Times New Roman" w:hAnsi="Times New Roman" w:cs="Times New Roman"/>
          <w:sz w:val="24"/>
          <w:szCs w:val="24"/>
        </w:rPr>
        <w:t xml:space="preserve">s lawyers have increasingly challenged the disclosure of the special committee process, which has led </w:t>
      </w:r>
      <w:r w:rsidR="00BE0D02" w:rsidRPr="0042152F">
        <w:rPr>
          <w:rFonts w:ascii="Times New Roman" w:hAnsi="Times New Roman" w:cs="Times New Roman"/>
          <w:sz w:val="24"/>
          <w:szCs w:val="24"/>
        </w:rPr>
        <w:t>courts to disregard both the committee’s approval and the shareholder vote.</w:t>
      </w:r>
      <w:r w:rsidR="00B27BFC">
        <w:rPr>
          <w:rFonts w:ascii="Times New Roman" w:hAnsi="Times New Roman" w:cs="Times New Roman"/>
          <w:sz w:val="24"/>
          <w:szCs w:val="24"/>
        </w:rPr>
        <w:t xml:space="preserve"> </w:t>
      </w:r>
      <w:r w:rsidR="00190FD8" w:rsidRPr="00190FD8">
        <w:rPr>
          <w:rFonts w:ascii="Times New Roman" w:hAnsi="Times New Roman" w:cs="Times New Roman"/>
          <w:sz w:val="24"/>
          <w:szCs w:val="24"/>
        </w:rPr>
        <w:t>Consider how the</w:t>
      </w:r>
      <w:r w:rsidR="00190FD8">
        <w:rPr>
          <w:rFonts w:ascii="Times New Roman" w:hAnsi="Times New Roman" w:cs="Times New Roman"/>
          <w:sz w:val="24"/>
          <w:szCs w:val="24"/>
        </w:rPr>
        <w:t xml:space="preserve"> </w:t>
      </w:r>
      <w:r w:rsidR="00190FD8" w:rsidRPr="00B26031">
        <w:rPr>
          <w:rFonts w:ascii="Times New Roman" w:hAnsi="Times New Roman" w:cs="Times New Roman"/>
          <w:i/>
          <w:iCs/>
          <w:sz w:val="24"/>
          <w:szCs w:val="24"/>
        </w:rPr>
        <w:t>Tornetta</w:t>
      </w:r>
      <w:r w:rsidR="00190FD8" w:rsidRPr="00190FD8">
        <w:rPr>
          <w:rFonts w:ascii="Times New Roman" w:hAnsi="Times New Roman" w:cs="Times New Roman"/>
          <w:sz w:val="24"/>
          <w:szCs w:val="24"/>
        </w:rPr>
        <w:t xml:space="preserve"> court invalidated the first shareholder vote approving Musk’s pay package because the</w:t>
      </w:r>
      <w:r w:rsidR="00190FD8">
        <w:rPr>
          <w:rFonts w:ascii="Times New Roman" w:hAnsi="Times New Roman" w:cs="Times New Roman"/>
          <w:sz w:val="24"/>
          <w:szCs w:val="24"/>
        </w:rPr>
        <w:t xml:space="preserve"> </w:t>
      </w:r>
      <w:r w:rsidR="00190FD8" w:rsidRPr="00190FD8">
        <w:rPr>
          <w:rFonts w:ascii="Times New Roman" w:hAnsi="Times New Roman" w:cs="Times New Roman"/>
          <w:sz w:val="24"/>
          <w:szCs w:val="24"/>
        </w:rPr>
        <w:t>proxy statement failed to disclose that certain special committee members were conflicted</w:t>
      </w:r>
      <w:r w:rsidR="002A3AE4">
        <w:rPr>
          <w:rFonts w:ascii="Times New Roman" w:hAnsi="Times New Roman" w:cs="Times New Roman"/>
          <w:sz w:val="24"/>
          <w:szCs w:val="24"/>
        </w:rPr>
        <w:t>.</w:t>
      </w:r>
      <w:r w:rsidR="00B27BFC">
        <w:rPr>
          <w:rStyle w:val="FootnoteReference"/>
          <w:rFonts w:ascii="Times New Roman" w:hAnsi="Times New Roman" w:cs="Times New Roman"/>
          <w:sz w:val="24"/>
          <w:szCs w:val="24"/>
        </w:rPr>
        <w:footnoteReference w:id="48"/>
      </w:r>
      <w:r w:rsidR="00BE0D02" w:rsidRPr="0042152F">
        <w:rPr>
          <w:rFonts w:ascii="Times New Roman" w:hAnsi="Times New Roman" w:cs="Times New Roman"/>
          <w:sz w:val="24"/>
          <w:szCs w:val="24"/>
        </w:rPr>
        <w:t xml:space="preserve"> This outcome, we believe, deviates from the regime Delaware envisioned when it embraced cleansing</w:t>
      </w:r>
      <w:r w:rsidR="0076212F" w:rsidRPr="0042152F">
        <w:rPr>
          <w:rFonts w:ascii="Times New Roman" w:hAnsi="Times New Roman" w:cs="Times New Roman"/>
          <w:sz w:val="24"/>
          <w:szCs w:val="24"/>
        </w:rPr>
        <w:t xml:space="preserve"> and puts </w:t>
      </w:r>
      <w:r w:rsidR="00CD3550">
        <w:rPr>
          <w:rFonts w:ascii="Times New Roman" w:hAnsi="Times New Roman" w:cs="Times New Roman"/>
          <w:sz w:val="24"/>
          <w:szCs w:val="24"/>
        </w:rPr>
        <w:t xml:space="preserve">complex </w:t>
      </w:r>
      <w:r w:rsidR="0076212F" w:rsidRPr="0042152F">
        <w:rPr>
          <w:rFonts w:ascii="Times New Roman" w:hAnsi="Times New Roman" w:cs="Times New Roman"/>
          <w:sz w:val="24"/>
          <w:szCs w:val="24"/>
        </w:rPr>
        <w:t>valuation</w:t>
      </w:r>
      <w:r w:rsidR="00CD3550">
        <w:rPr>
          <w:rFonts w:ascii="Times New Roman" w:hAnsi="Times New Roman" w:cs="Times New Roman"/>
          <w:sz w:val="24"/>
          <w:szCs w:val="24"/>
        </w:rPr>
        <w:t xml:space="preserve"> disputes</w:t>
      </w:r>
      <w:r w:rsidR="0076212F" w:rsidRPr="0042152F">
        <w:rPr>
          <w:rFonts w:ascii="Times New Roman" w:hAnsi="Times New Roman" w:cs="Times New Roman"/>
          <w:sz w:val="24"/>
          <w:szCs w:val="24"/>
        </w:rPr>
        <w:t xml:space="preserve"> back at the center of litigation</w:t>
      </w:r>
      <w:r w:rsidR="004F67AF" w:rsidRPr="0042152F">
        <w:rPr>
          <w:rFonts w:ascii="Times New Roman" w:hAnsi="Times New Roman" w:cs="Times New Roman"/>
          <w:sz w:val="24"/>
          <w:szCs w:val="24"/>
        </w:rPr>
        <w:t xml:space="preserve"> more often than it should.</w:t>
      </w:r>
    </w:p>
    <w:p w14:paraId="489A144D" w14:textId="0DACA731" w:rsidR="002A5C21" w:rsidRPr="0042152F" w:rsidRDefault="00EC6352"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propose </w:t>
      </w:r>
      <w:r w:rsidR="00056C2D">
        <w:rPr>
          <w:rFonts w:ascii="Times New Roman" w:hAnsi="Times New Roman" w:cs="Times New Roman"/>
          <w:sz w:val="24"/>
          <w:szCs w:val="24"/>
        </w:rPr>
        <w:t>reforms to</w:t>
      </w:r>
      <w:r w:rsidR="00D9195F">
        <w:rPr>
          <w:rFonts w:ascii="Times New Roman" w:hAnsi="Times New Roman" w:cs="Times New Roman"/>
          <w:sz w:val="24"/>
          <w:szCs w:val="24"/>
        </w:rPr>
        <w:t xml:space="preserve"> the </w:t>
      </w:r>
      <w:r w:rsidR="00D9195F" w:rsidRPr="008C5436">
        <w:rPr>
          <w:rFonts w:ascii="Times New Roman" w:hAnsi="Times New Roman" w:cs="Times New Roman"/>
          <w:i/>
          <w:iCs/>
          <w:sz w:val="24"/>
          <w:szCs w:val="24"/>
        </w:rPr>
        <w:t>MFW</w:t>
      </w:r>
      <w:r w:rsidR="00D9195F">
        <w:rPr>
          <w:rFonts w:ascii="Times New Roman" w:hAnsi="Times New Roman" w:cs="Times New Roman"/>
          <w:sz w:val="24"/>
          <w:szCs w:val="24"/>
        </w:rPr>
        <w:t xml:space="preserve"> framework </w:t>
      </w:r>
      <w:r w:rsidR="00056C2D">
        <w:rPr>
          <w:rFonts w:ascii="Times New Roman" w:hAnsi="Times New Roman" w:cs="Times New Roman"/>
          <w:sz w:val="24"/>
          <w:szCs w:val="24"/>
        </w:rPr>
        <w:t xml:space="preserve">that would </w:t>
      </w:r>
      <w:r w:rsidR="004345DF" w:rsidRPr="0042152F">
        <w:rPr>
          <w:rFonts w:ascii="Times New Roman" w:hAnsi="Times New Roman" w:cs="Times New Roman"/>
          <w:sz w:val="24"/>
          <w:szCs w:val="24"/>
        </w:rPr>
        <w:t xml:space="preserve">limit judicial valuation </w:t>
      </w:r>
      <w:r w:rsidR="00E922CB">
        <w:rPr>
          <w:rFonts w:ascii="Times New Roman" w:hAnsi="Times New Roman" w:cs="Times New Roman"/>
          <w:sz w:val="24"/>
          <w:szCs w:val="24"/>
        </w:rPr>
        <w:t>of controller transactions</w:t>
      </w:r>
      <w:r w:rsidR="00760B59">
        <w:rPr>
          <w:rFonts w:ascii="Times New Roman" w:hAnsi="Times New Roman" w:cs="Times New Roman"/>
          <w:sz w:val="24"/>
          <w:szCs w:val="24"/>
        </w:rPr>
        <w:t>—including those that do not involve idiosyncratic vision</w:t>
      </w:r>
      <w:r w:rsidR="00760B59" w:rsidRPr="001B7B65">
        <w:rPr>
          <w:rStyle w:val="FootnoteReference"/>
          <w:rFonts w:ascii="Times New Roman" w:hAnsi="Times New Roman" w:cs="Times New Roman"/>
          <w:sz w:val="24"/>
          <w:szCs w:val="24"/>
        </w:rPr>
        <w:footnoteReference w:id="49"/>
      </w:r>
      <w:r w:rsidR="00760B59">
        <w:rPr>
          <w:rFonts w:ascii="Times New Roman" w:hAnsi="Times New Roman" w:cs="Times New Roman"/>
          <w:sz w:val="24"/>
          <w:szCs w:val="24"/>
        </w:rPr>
        <w:t>—</w:t>
      </w:r>
      <w:r w:rsidR="004345DF" w:rsidRPr="0042152F">
        <w:rPr>
          <w:rFonts w:ascii="Times New Roman" w:hAnsi="Times New Roman" w:cs="Times New Roman"/>
          <w:sz w:val="24"/>
          <w:szCs w:val="24"/>
        </w:rPr>
        <w:t>to the scenarios where it is most warranted</w:t>
      </w:r>
      <w:r w:rsidR="000463D7" w:rsidRPr="0042152F">
        <w:rPr>
          <w:rFonts w:ascii="Times New Roman" w:hAnsi="Times New Roman" w:cs="Times New Roman"/>
          <w:sz w:val="24"/>
          <w:szCs w:val="24"/>
        </w:rPr>
        <w:t>.</w:t>
      </w:r>
      <w:r w:rsidR="00EA29CC">
        <w:rPr>
          <w:rStyle w:val="FootnoteReference"/>
          <w:rFonts w:ascii="Times New Roman" w:hAnsi="Times New Roman" w:cs="Times New Roman"/>
          <w:sz w:val="24"/>
          <w:szCs w:val="24"/>
        </w:rPr>
        <w:footnoteReference w:id="50"/>
      </w:r>
      <w:r w:rsidRPr="0042152F">
        <w:rPr>
          <w:rFonts w:ascii="Times New Roman" w:hAnsi="Times New Roman" w:cs="Times New Roman"/>
          <w:sz w:val="24"/>
          <w:szCs w:val="24"/>
        </w:rPr>
        <w:t xml:space="preserve"> </w:t>
      </w:r>
      <w:r w:rsidR="004B3901" w:rsidRPr="0042152F">
        <w:rPr>
          <w:rFonts w:ascii="Times New Roman" w:hAnsi="Times New Roman" w:cs="Times New Roman"/>
          <w:sz w:val="24"/>
          <w:szCs w:val="24"/>
        </w:rPr>
        <w:t xml:space="preserve">First, we </w:t>
      </w:r>
      <w:r w:rsidR="004345DF" w:rsidRPr="0042152F">
        <w:rPr>
          <w:rFonts w:ascii="Times New Roman" w:hAnsi="Times New Roman" w:cs="Times New Roman"/>
          <w:sz w:val="24"/>
          <w:szCs w:val="24"/>
        </w:rPr>
        <w:t>argue that d</w:t>
      </w:r>
      <w:r w:rsidR="002A5C21" w:rsidRPr="0042152F">
        <w:rPr>
          <w:rFonts w:ascii="Times New Roman" w:hAnsi="Times New Roman" w:cs="Times New Roman"/>
          <w:sz w:val="24"/>
          <w:szCs w:val="24"/>
        </w:rPr>
        <w:t>isclosure deficiencies regarding the special committee process should not invalidate an otherwise informed shareholder vote.</w:t>
      </w:r>
      <w:r w:rsidR="004345DF" w:rsidRPr="0042152F">
        <w:rPr>
          <w:rStyle w:val="FootnoteReference"/>
          <w:rFonts w:ascii="Times New Roman" w:hAnsi="Times New Roman" w:cs="Times New Roman"/>
          <w:sz w:val="24"/>
          <w:szCs w:val="24"/>
        </w:rPr>
        <w:footnoteReference w:id="51"/>
      </w:r>
      <w:r w:rsidR="002A5C21" w:rsidRPr="0042152F">
        <w:rPr>
          <w:rFonts w:ascii="Times New Roman" w:hAnsi="Times New Roman" w:cs="Times New Roman"/>
          <w:sz w:val="24"/>
          <w:szCs w:val="24"/>
        </w:rPr>
        <w:t xml:space="preserve"> </w:t>
      </w:r>
      <w:r w:rsidR="007909FD" w:rsidRPr="00644A06">
        <w:rPr>
          <w:rFonts w:ascii="Times New Roman" w:hAnsi="Times New Roman" w:cs="Times New Roman"/>
          <w:sz w:val="24"/>
          <w:szCs w:val="24"/>
        </w:rPr>
        <w:t>I</w:t>
      </w:r>
      <w:r w:rsidR="002A5C21" w:rsidRPr="00644A06">
        <w:rPr>
          <w:rFonts w:ascii="Times New Roman" w:hAnsi="Times New Roman" w:cs="Times New Roman"/>
          <w:sz w:val="24"/>
          <w:szCs w:val="24"/>
        </w:rPr>
        <w:t xml:space="preserve">n controller transactions, the </w:t>
      </w:r>
      <w:r w:rsidR="00D92176" w:rsidRPr="00644A06">
        <w:rPr>
          <w:rFonts w:ascii="Times New Roman" w:hAnsi="Times New Roman" w:cs="Times New Roman"/>
          <w:sz w:val="24"/>
          <w:szCs w:val="24"/>
        </w:rPr>
        <w:t xml:space="preserve">inherent </w:t>
      </w:r>
      <w:r w:rsidR="002A5C21" w:rsidRPr="00644A06">
        <w:rPr>
          <w:rFonts w:ascii="Times New Roman" w:hAnsi="Times New Roman" w:cs="Times New Roman"/>
          <w:sz w:val="24"/>
          <w:szCs w:val="24"/>
        </w:rPr>
        <w:t xml:space="preserve">conflict is </w:t>
      </w:r>
      <w:r w:rsidR="00C402CD" w:rsidRPr="00644A06">
        <w:rPr>
          <w:rFonts w:ascii="Times New Roman" w:hAnsi="Times New Roman" w:cs="Times New Roman"/>
          <w:sz w:val="24"/>
          <w:szCs w:val="24"/>
        </w:rPr>
        <w:t xml:space="preserve">already </w:t>
      </w:r>
      <w:r w:rsidR="002A5C21" w:rsidRPr="00644A06">
        <w:rPr>
          <w:rFonts w:ascii="Times New Roman" w:hAnsi="Times New Roman" w:cs="Times New Roman"/>
          <w:sz w:val="24"/>
          <w:szCs w:val="24"/>
        </w:rPr>
        <w:t>obvious—the corporation is dealing with its controll</w:t>
      </w:r>
      <w:r w:rsidR="00E030A1" w:rsidRPr="00644A06">
        <w:rPr>
          <w:rFonts w:ascii="Times New Roman" w:hAnsi="Times New Roman" w:cs="Times New Roman"/>
          <w:sz w:val="24"/>
          <w:szCs w:val="24"/>
        </w:rPr>
        <w:t>ing shareholder</w:t>
      </w:r>
      <w:r w:rsidR="00711C59" w:rsidRPr="008C5436">
        <w:rPr>
          <w:rFonts w:ascii="Times New Roman" w:hAnsi="Times New Roman" w:cs="Times New Roman"/>
          <w:sz w:val="24"/>
          <w:szCs w:val="24"/>
        </w:rPr>
        <w:t xml:space="preserve">. </w:t>
      </w:r>
      <w:r w:rsidR="00B95D45" w:rsidRPr="008C5436">
        <w:rPr>
          <w:rFonts w:ascii="Times New Roman" w:hAnsi="Times New Roman" w:cs="Times New Roman"/>
          <w:sz w:val="24"/>
          <w:szCs w:val="24"/>
        </w:rPr>
        <w:t>After all, t</w:t>
      </w:r>
      <w:r w:rsidR="00F1370A" w:rsidRPr="008C5436">
        <w:rPr>
          <w:rFonts w:ascii="Times New Roman" w:hAnsi="Times New Roman" w:cs="Times New Roman"/>
          <w:sz w:val="24"/>
          <w:szCs w:val="24"/>
        </w:rPr>
        <w:t xml:space="preserve">he </w:t>
      </w:r>
      <w:r w:rsidR="00972CA1" w:rsidRPr="008C5436">
        <w:rPr>
          <w:rFonts w:ascii="Times New Roman" w:hAnsi="Times New Roman" w:cs="Times New Roman"/>
          <w:sz w:val="24"/>
          <w:szCs w:val="24"/>
        </w:rPr>
        <w:t xml:space="preserve">power of controlling shareholder over </w:t>
      </w:r>
      <w:r w:rsidR="0028754F" w:rsidRPr="008C5436">
        <w:rPr>
          <w:rFonts w:ascii="Times New Roman" w:hAnsi="Times New Roman" w:cs="Times New Roman"/>
          <w:sz w:val="24"/>
          <w:szCs w:val="24"/>
        </w:rPr>
        <w:t xml:space="preserve">independent directors </w:t>
      </w:r>
      <w:r w:rsidR="00B13897" w:rsidRPr="008C5436">
        <w:rPr>
          <w:rFonts w:ascii="Times New Roman" w:hAnsi="Times New Roman" w:cs="Times New Roman"/>
          <w:sz w:val="24"/>
          <w:szCs w:val="24"/>
        </w:rPr>
        <w:t>is the rationale underlying the courts’ unwillingness to</w:t>
      </w:r>
      <w:r w:rsidR="00B95D45" w:rsidRPr="008C5436">
        <w:rPr>
          <w:rFonts w:ascii="Times New Roman" w:hAnsi="Times New Roman" w:cs="Times New Roman"/>
          <w:sz w:val="24"/>
          <w:szCs w:val="24"/>
        </w:rPr>
        <w:t xml:space="preserve"> grant full cleansing power to</w:t>
      </w:r>
      <w:r w:rsidR="00DC4975" w:rsidRPr="008C5436">
        <w:rPr>
          <w:rFonts w:ascii="Times New Roman" w:hAnsi="Times New Roman" w:cs="Times New Roman"/>
          <w:sz w:val="24"/>
          <w:szCs w:val="24"/>
        </w:rPr>
        <w:t xml:space="preserve"> </w:t>
      </w:r>
      <w:r w:rsidR="006311FD" w:rsidRPr="008C5436">
        <w:rPr>
          <w:rFonts w:ascii="Times New Roman" w:hAnsi="Times New Roman" w:cs="Times New Roman"/>
          <w:sz w:val="24"/>
          <w:szCs w:val="24"/>
        </w:rPr>
        <w:t>these directors’ approval of controller transactions.</w:t>
      </w:r>
      <w:r w:rsidR="006311FD">
        <w:rPr>
          <w:rFonts w:ascii="Times New Roman" w:hAnsi="Times New Roman" w:cs="Times New Roman"/>
          <w:sz w:val="24"/>
          <w:szCs w:val="24"/>
        </w:rPr>
        <w:t xml:space="preserve"> </w:t>
      </w:r>
      <w:r w:rsidR="002700C3">
        <w:rPr>
          <w:rFonts w:ascii="Times New Roman" w:hAnsi="Times New Roman" w:cs="Times New Roman"/>
          <w:sz w:val="24"/>
          <w:szCs w:val="24"/>
        </w:rPr>
        <w:t xml:space="preserve">Therefore, shareholders’ understanding of the financial terms </w:t>
      </w:r>
      <w:r w:rsidR="002700C3">
        <w:rPr>
          <w:rFonts w:ascii="Times New Roman" w:hAnsi="Times New Roman" w:cs="Times New Roman"/>
          <w:sz w:val="24"/>
          <w:szCs w:val="24"/>
        </w:rPr>
        <w:lastRenderedPageBreak/>
        <w:t xml:space="preserve">of the transaction should be the key question. This is particularly true </w:t>
      </w:r>
      <w:r w:rsidR="00C20D71">
        <w:rPr>
          <w:rFonts w:ascii="Times New Roman" w:hAnsi="Times New Roman" w:cs="Times New Roman"/>
          <w:sz w:val="24"/>
          <w:szCs w:val="24"/>
        </w:rPr>
        <w:t xml:space="preserve">when </w:t>
      </w:r>
      <w:r w:rsidR="00CE1DD6">
        <w:rPr>
          <w:rFonts w:ascii="Times New Roman" w:hAnsi="Times New Roman" w:cs="Times New Roman"/>
          <w:sz w:val="24"/>
          <w:szCs w:val="24"/>
        </w:rPr>
        <w:t xml:space="preserve">the </w:t>
      </w:r>
      <w:r w:rsidR="00414B48">
        <w:rPr>
          <w:rFonts w:ascii="Times New Roman" w:hAnsi="Times New Roman" w:cs="Times New Roman"/>
          <w:sz w:val="24"/>
          <w:szCs w:val="24"/>
        </w:rPr>
        <w:t>fairness</w:t>
      </w:r>
      <w:r w:rsidR="00CE1DD6">
        <w:rPr>
          <w:rFonts w:ascii="Times New Roman" w:hAnsi="Times New Roman" w:cs="Times New Roman"/>
          <w:sz w:val="24"/>
          <w:szCs w:val="24"/>
        </w:rPr>
        <w:t xml:space="preserve"> of the transaction </w:t>
      </w:r>
      <w:r w:rsidR="004B1469">
        <w:rPr>
          <w:rFonts w:ascii="Times New Roman" w:hAnsi="Times New Roman" w:cs="Times New Roman"/>
          <w:sz w:val="24"/>
          <w:szCs w:val="24"/>
        </w:rPr>
        <w:t xml:space="preserve">that is </w:t>
      </w:r>
      <w:r w:rsidR="00414B48">
        <w:rPr>
          <w:rFonts w:ascii="Times New Roman" w:hAnsi="Times New Roman" w:cs="Times New Roman"/>
          <w:sz w:val="24"/>
          <w:szCs w:val="24"/>
        </w:rPr>
        <w:t>submitted to a</w:t>
      </w:r>
      <w:r w:rsidR="00CE1DD6">
        <w:rPr>
          <w:rFonts w:ascii="Times New Roman" w:hAnsi="Times New Roman" w:cs="Times New Roman"/>
          <w:sz w:val="24"/>
          <w:szCs w:val="24"/>
        </w:rPr>
        <w:t xml:space="preserve"> shareholder </w:t>
      </w:r>
      <w:r w:rsidR="00414B48">
        <w:rPr>
          <w:rFonts w:ascii="Times New Roman" w:hAnsi="Times New Roman" w:cs="Times New Roman"/>
          <w:sz w:val="24"/>
          <w:szCs w:val="24"/>
        </w:rPr>
        <w:t xml:space="preserve">vote is </w:t>
      </w:r>
      <w:r w:rsidR="00C3780B">
        <w:rPr>
          <w:rFonts w:ascii="Times New Roman" w:hAnsi="Times New Roman" w:cs="Times New Roman"/>
          <w:sz w:val="24"/>
          <w:szCs w:val="24"/>
        </w:rPr>
        <w:t>closely related to the value of the controller’s vision. S</w:t>
      </w:r>
      <w:r w:rsidR="0018205D" w:rsidRPr="0042152F">
        <w:rPr>
          <w:rFonts w:ascii="Times New Roman" w:hAnsi="Times New Roman" w:cs="Times New Roman"/>
          <w:sz w:val="24"/>
          <w:szCs w:val="24"/>
        </w:rPr>
        <w:t xml:space="preserve">hareholders </w:t>
      </w:r>
      <w:r w:rsidR="00EA29CC">
        <w:rPr>
          <w:rFonts w:ascii="Times New Roman" w:hAnsi="Times New Roman" w:cs="Times New Roman"/>
          <w:sz w:val="24"/>
          <w:szCs w:val="24"/>
        </w:rPr>
        <w:t xml:space="preserve">are </w:t>
      </w:r>
      <w:r w:rsidR="00040E14">
        <w:rPr>
          <w:rFonts w:ascii="Times New Roman" w:hAnsi="Times New Roman" w:cs="Times New Roman"/>
          <w:sz w:val="24"/>
          <w:szCs w:val="24"/>
        </w:rPr>
        <w:t xml:space="preserve">best </w:t>
      </w:r>
      <w:r w:rsidR="00EA29CC">
        <w:rPr>
          <w:rFonts w:ascii="Times New Roman" w:hAnsi="Times New Roman" w:cs="Times New Roman"/>
          <w:sz w:val="24"/>
          <w:szCs w:val="24"/>
        </w:rPr>
        <w:t>positioned to</w:t>
      </w:r>
      <w:r w:rsidR="0018205D" w:rsidRPr="0042152F">
        <w:rPr>
          <w:rFonts w:ascii="Times New Roman" w:hAnsi="Times New Roman" w:cs="Times New Roman"/>
          <w:sz w:val="24"/>
          <w:szCs w:val="24"/>
        </w:rPr>
        <w:t xml:space="preserve"> assess the value of the controller’s vision</w:t>
      </w:r>
      <w:r w:rsidR="00EA29CC">
        <w:rPr>
          <w:rFonts w:ascii="Times New Roman" w:hAnsi="Times New Roman" w:cs="Times New Roman"/>
          <w:sz w:val="24"/>
          <w:szCs w:val="24"/>
        </w:rPr>
        <w:t xml:space="preserve">, </w:t>
      </w:r>
      <w:r w:rsidR="00A05532">
        <w:rPr>
          <w:rFonts w:ascii="Times New Roman" w:hAnsi="Times New Roman" w:cs="Times New Roman"/>
          <w:sz w:val="24"/>
          <w:szCs w:val="24"/>
        </w:rPr>
        <w:t>even</w:t>
      </w:r>
      <w:r w:rsidR="00EA29CC">
        <w:rPr>
          <w:rFonts w:ascii="Times New Roman" w:hAnsi="Times New Roman" w:cs="Times New Roman"/>
          <w:sz w:val="24"/>
          <w:szCs w:val="24"/>
        </w:rPr>
        <w:t xml:space="preserve"> when it is idiosyncratic</w:t>
      </w:r>
      <w:r w:rsidR="0018205D" w:rsidRPr="0042152F">
        <w:rPr>
          <w:rFonts w:ascii="Times New Roman" w:hAnsi="Times New Roman" w:cs="Times New Roman"/>
          <w:sz w:val="24"/>
          <w:szCs w:val="24"/>
        </w:rPr>
        <w:t xml:space="preserve">. </w:t>
      </w:r>
      <w:r w:rsidR="00E0667F" w:rsidRPr="0042152F">
        <w:rPr>
          <w:rFonts w:ascii="Times New Roman" w:hAnsi="Times New Roman" w:cs="Times New Roman"/>
          <w:sz w:val="24"/>
          <w:szCs w:val="24"/>
        </w:rPr>
        <w:t xml:space="preserve">Although shareholders may </w:t>
      </w:r>
      <w:r w:rsidR="00E030A1" w:rsidRPr="0042152F">
        <w:rPr>
          <w:rFonts w:ascii="Times New Roman" w:hAnsi="Times New Roman" w:cs="Times New Roman"/>
          <w:sz w:val="24"/>
          <w:szCs w:val="24"/>
        </w:rPr>
        <w:t xml:space="preserve">err </w:t>
      </w:r>
      <w:r w:rsidR="00881E67">
        <w:rPr>
          <w:rFonts w:ascii="Times New Roman" w:hAnsi="Times New Roman" w:cs="Times New Roman"/>
          <w:sz w:val="24"/>
          <w:szCs w:val="24"/>
        </w:rPr>
        <w:t>in this valuation</w:t>
      </w:r>
      <w:r w:rsidR="00E0667F" w:rsidRPr="0042152F">
        <w:rPr>
          <w:rFonts w:ascii="Times New Roman" w:hAnsi="Times New Roman" w:cs="Times New Roman"/>
          <w:sz w:val="24"/>
          <w:szCs w:val="24"/>
        </w:rPr>
        <w:t>, the voting process aggregates their subjective valuations of the transaction and its price and thus serves as a referendum on the value of the controller’s vision</w:t>
      </w:r>
      <w:r w:rsidR="007550E6" w:rsidRPr="0042152F">
        <w:rPr>
          <w:rFonts w:ascii="Times New Roman" w:hAnsi="Times New Roman" w:cs="Times New Roman"/>
          <w:sz w:val="24"/>
          <w:szCs w:val="24"/>
        </w:rPr>
        <w:t>.</w:t>
      </w:r>
      <w:r w:rsidR="00E0667F" w:rsidRPr="0042152F">
        <w:rPr>
          <w:rFonts w:ascii="Times New Roman" w:hAnsi="Times New Roman" w:cs="Times New Roman"/>
          <w:sz w:val="24"/>
          <w:szCs w:val="24"/>
        </w:rPr>
        <w:t xml:space="preserve"> </w:t>
      </w:r>
      <w:r w:rsidR="00B57D99">
        <w:rPr>
          <w:rFonts w:ascii="Times New Roman" w:hAnsi="Times New Roman" w:cs="Times New Roman"/>
          <w:sz w:val="24"/>
          <w:szCs w:val="24"/>
        </w:rPr>
        <w:t>Accordingly,</w:t>
      </w:r>
      <w:r w:rsidR="00C90099">
        <w:rPr>
          <w:rFonts w:ascii="Times New Roman" w:hAnsi="Times New Roman" w:cs="Times New Roman"/>
          <w:sz w:val="24"/>
          <w:szCs w:val="24"/>
        </w:rPr>
        <w:t xml:space="preserve"> </w:t>
      </w:r>
      <w:r w:rsidR="002700C3">
        <w:rPr>
          <w:rFonts w:ascii="Times New Roman" w:hAnsi="Times New Roman" w:cs="Times New Roman"/>
          <w:sz w:val="24"/>
          <w:szCs w:val="24"/>
        </w:rPr>
        <w:t>if</w:t>
      </w:r>
      <w:r w:rsidR="002A5C21" w:rsidRPr="0042152F">
        <w:rPr>
          <w:rFonts w:ascii="Times New Roman" w:hAnsi="Times New Roman" w:cs="Times New Roman"/>
          <w:sz w:val="24"/>
          <w:szCs w:val="24"/>
        </w:rPr>
        <w:t xml:space="preserve"> shareholders are given </w:t>
      </w:r>
      <w:r w:rsidR="002700C3">
        <w:rPr>
          <w:rFonts w:ascii="Times New Roman" w:hAnsi="Times New Roman" w:cs="Times New Roman"/>
          <w:sz w:val="24"/>
          <w:szCs w:val="24"/>
        </w:rPr>
        <w:t>full information about the financial terms of the transaction</w:t>
      </w:r>
      <w:r w:rsidR="002A5C21" w:rsidRPr="0042152F">
        <w:rPr>
          <w:rFonts w:ascii="Times New Roman" w:hAnsi="Times New Roman" w:cs="Times New Roman"/>
          <w:sz w:val="24"/>
          <w:szCs w:val="24"/>
        </w:rPr>
        <w:t>, their approval should be respected by the court</w:t>
      </w:r>
      <w:r w:rsidR="00E030A1" w:rsidRPr="0042152F">
        <w:rPr>
          <w:rFonts w:ascii="Times New Roman" w:hAnsi="Times New Roman" w:cs="Times New Roman"/>
          <w:sz w:val="24"/>
          <w:szCs w:val="24"/>
        </w:rPr>
        <w:t xml:space="preserve">, and the quality of the special committee </w:t>
      </w:r>
      <w:r w:rsidR="00FF54F5">
        <w:rPr>
          <w:rFonts w:ascii="Times New Roman" w:hAnsi="Times New Roman" w:cs="Times New Roman"/>
          <w:sz w:val="24"/>
          <w:szCs w:val="24"/>
        </w:rPr>
        <w:t xml:space="preserve">process </w:t>
      </w:r>
      <w:r w:rsidR="00E030A1" w:rsidRPr="0042152F">
        <w:rPr>
          <w:rFonts w:ascii="Times New Roman" w:hAnsi="Times New Roman" w:cs="Times New Roman"/>
          <w:sz w:val="24"/>
          <w:szCs w:val="24"/>
        </w:rPr>
        <w:t xml:space="preserve">should be addressed </w:t>
      </w:r>
      <w:r w:rsidR="00C402CD">
        <w:rPr>
          <w:rFonts w:ascii="Times New Roman" w:hAnsi="Times New Roman" w:cs="Times New Roman"/>
          <w:sz w:val="24"/>
          <w:szCs w:val="24"/>
        </w:rPr>
        <w:t xml:space="preserve">separately </w:t>
      </w:r>
      <w:r w:rsidR="00E030A1" w:rsidRPr="0042152F">
        <w:rPr>
          <w:rFonts w:ascii="Times New Roman" w:hAnsi="Times New Roman" w:cs="Times New Roman"/>
          <w:sz w:val="24"/>
          <w:szCs w:val="24"/>
        </w:rPr>
        <w:t xml:space="preserve">by </w:t>
      </w:r>
      <w:r w:rsidR="00E030A1" w:rsidRPr="0042152F">
        <w:rPr>
          <w:rFonts w:ascii="Times New Roman" w:hAnsi="Times New Roman" w:cs="Times New Roman"/>
          <w:i/>
          <w:iCs/>
          <w:sz w:val="24"/>
          <w:szCs w:val="24"/>
        </w:rPr>
        <w:t>MFW</w:t>
      </w:r>
      <w:r w:rsidR="00E030A1" w:rsidRPr="0042152F">
        <w:rPr>
          <w:rFonts w:ascii="Times New Roman" w:hAnsi="Times New Roman" w:cs="Times New Roman"/>
          <w:sz w:val="24"/>
          <w:szCs w:val="24"/>
        </w:rPr>
        <w:t>’s other cleansing mechanism</w:t>
      </w:r>
      <w:r w:rsidR="009B246F" w:rsidRPr="0042152F">
        <w:rPr>
          <w:rFonts w:ascii="Times New Roman" w:hAnsi="Times New Roman" w:cs="Times New Roman"/>
          <w:sz w:val="24"/>
          <w:szCs w:val="24"/>
        </w:rPr>
        <w:t xml:space="preserve"> (and potentially the court’s substantive review of the transaction</w:t>
      </w:r>
      <w:r w:rsidR="002700C3">
        <w:rPr>
          <w:rFonts w:ascii="Times New Roman" w:hAnsi="Times New Roman" w:cs="Times New Roman"/>
          <w:sz w:val="24"/>
          <w:szCs w:val="24"/>
        </w:rPr>
        <w:t xml:space="preserve"> as well</w:t>
      </w:r>
      <w:r w:rsidR="009B246F" w:rsidRPr="0042152F">
        <w:rPr>
          <w:rFonts w:ascii="Times New Roman" w:hAnsi="Times New Roman" w:cs="Times New Roman"/>
          <w:sz w:val="24"/>
          <w:szCs w:val="24"/>
        </w:rPr>
        <w:t>)</w:t>
      </w:r>
      <w:r w:rsidR="00E030A1" w:rsidRPr="0042152F">
        <w:rPr>
          <w:rFonts w:ascii="Times New Roman" w:hAnsi="Times New Roman" w:cs="Times New Roman"/>
          <w:sz w:val="24"/>
          <w:szCs w:val="24"/>
        </w:rPr>
        <w:t>.</w:t>
      </w:r>
    </w:p>
    <w:p w14:paraId="25FF0999" w14:textId="14D874BF" w:rsidR="009A43A8" w:rsidRDefault="002A5C2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We recognize</w:t>
      </w:r>
      <w:r w:rsidR="00405762" w:rsidRPr="0042152F">
        <w:rPr>
          <w:rFonts w:ascii="Times New Roman" w:hAnsi="Times New Roman" w:cs="Times New Roman"/>
          <w:sz w:val="24"/>
          <w:szCs w:val="24"/>
        </w:rPr>
        <w:t xml:space="preserve">, </w:t>
      </w:r>
      <w:r w:rsidR="00CC4950" w:rsidRPr="0042152F">
        <w:rPr>
          <w:rFonts w:ascii="Times New Roman" w:hAnsi="Times New Roman" w:cs="Times New Roman"/>
          <w:sz w:val="24"/>
          <w:szCs w:val="24"/>
        </w:rPr>
        <w:t>however</w:t>
      </w:r>
      <w:r w:rsidR="00405762" w:rsidRPr="0042152F">
        <w:rPr>
          <w:rFonts w:ascii="Times New Roman" w:hAnsi="Times New Roman" w:cs="Times New Roman"/>
          <w:sz w:val="24"/>
          <w:szCs w:val="24"/>
        </w:rPr>
        <w:t>,</w:t>
      </w:r>
      <w:r w:rsidRPr="0042152F">
        <w:rPr>
          <w:rFonts w:ascii="Times New Roman" w:hAnsi="Times New Roman" w:cs="Times New Roman"/>
          <w:sz w:val="24"/>
          <w:szCs w:val="24"/>
        </w:rPr>
        <w:t xml:space="preserve"> that </w:t>
      </w:r>
      <w:r w:rsidR="00D9121C" w:rsidRPr="0042152F">
        <w:rPr>
          <w:rFonts w:ascii="Times New Roman" w:hAnsi="Times New Roman" w:cs="Times New Roman"/>
          <w:sz w:val="24"/>
          <w:szCs w:val="24"/>
        </w:rPr>
        <w:t xml:space="preserve">information </w:t>
      </w:r>
      <w:r w:rsidR="006A65FC" w:rsidRPr="0042152F">
        <w:rPr>
          <w:rFonts w:ascii="Times New Roman" w:hAnsi="Times New Roman" w:cs="Times New Roman"/>
          <w:sz w:val="24"/>
          <w:szCs w:val="24"/>
        </w:rPr>
        <w:t xml:space="preserve">concerning the special committee </w:t>
      </w:r>
      <w:r w:rsidR="00330621" w:rsidRPr="0042152F">
        <w:rPr>
          <w:rFonts w:ascii="Times New Roman" w:hAnsi="Times New Roman" w:cs="Times New Roman"/>
          <w:sz w:val="24"/>
          <w:szCs w:val="24"/>
        </w:rPr>
        <w:t xml:space="preserve">and its process </w:t>
      </w:r>
      <w:r w:rsidR="0029168E" w:rsidRPr="0042152F">
        <w:rPr>
          <w:rFonts w:ascii="Times New Roman" w:hAnsi="Times New Roman" w:cs="Times New Roman"/>
          <w:sz w:val="24"/>
          <w:szCs w:val="24"/>
        </w:rPr>
        <w:t>serve</w:t>
      </w:r>
      <w:r w:rsidR="009939EE">
        <w:rPr>
          <w:rFonts w:ascii="Times New Roman" w:hAnsi="Times New Roman" w:cs="Times New Roman"/>
          <w:sz w:val="24"/>
          <w:szCs w:val="24"/>
        </w:rPr>
        <w:t>s</w:t>
      </w:r>
      <w:r w:rsidR="0029168E" w:rsidRPr="0042152F">
        <w:rPr>
          <w:rFonts w:ascii="Times New Roman" w:hAnsi="Times New Roman" w:cs="Times New Roman"/>
          <w:sz w:val="24"/>
          <w:szCs w:val="24"/>
        </w:rPr>
        <w:t xml:space="preserve"> valuable purpose</w:t>
      </w:r>
      <w:r w:rsidR="002A4D1E">
        <w:rPr>
          <w:rFonts w:ascii="Times New Roman" w:hAnsi="Times New Roman" w:cs="Times New Roman"/>
          <w:sz w:val="24"/>
          <w:szCs w:val="24"/>
        </w:rPr>
        <w:t xml:space="preserve">s, including aiding </w:t>
      </w:r>
      <w:r w:rsidR="00CF2FAB">
        <w:rPr>
          <w:rFonts w:ascii="Times New Roman" w:hAnsi="Times New Roman" w:cs="Times New Roman"/>
          <w:sz w:val="24"/>
          <w:szCs w:val="24"/>
        </w:rPr>
        <w:t>shareholder litigation</w:t>
      </w:r>
      <w:r w:rsidR="002A4D1E">
        <w:rPr>
          <w:rFonts w:ascii="Times New Roman" w:hAnsi="Times New Roman" w:cs="Times New Roman"/>
          <w:sz w:val="24"/>
          <w:szCs w:val="24"/>
        </w:rPr>
        <w:t>.</w:t>
      </w:r>
      <w:r w:rsidR="0094579E">
        <w:rPr>
          <w:rStyle w:val="FootnoteReference"/>
          <w:rFonts w:ascii="Times New Roman" w:hAnsi="Times New Roman" w:cs="Times New Roman"/>
          <w:sz w:val="24"/>
          <w:szCs w:val="24"/>
        </w:rPr>
        <w:footnoteReference w:id="52"/>
      </w:r>
      <w:r w:rsidR="00CF2FAB">
        <w:rPr>
          <w:rFonts w:ascii="Times New Roman" w:hAnsi="Times New Roman" w:cs="Times New Roman"/>
          <w:sz w:val="24"/>
          <w:szCs w:val="24"/>
        </w:rPr>
        <w:t xml:space="preserve"> Because our emphasis on financial disclosure could </w:t>
      </w:r>
      <w:r w:rsidR="00EC626C" w:rsidRPr="0042152F">
        <w:rPr>
          <w:rFonts w:ascii="Times New Roman" w:hAnsi="Times New Roman" w:cs="Times New Roman"/>
          <w:sz w:val="24"/>
          <w:szCs w:val="24"/>
        </w:rPr>
        <w:t>encourage</w:t>
      </w:r>
      <w:r w:rsidR="00753D82" w:rsidRPr="0042152F">
        <w:rPr>
          <w:rFonts w:ascii="Times New Roman" w:hAnsi="Times New Roman" w:cs="Times New Roman"/>
          <w:sz w:val="24"/>
          <w:szCs w:val="24"/>
        </w:rPr>
        <w:t xml:space="preserve"> companies to </w:t>
      </w:r>
      <w:r w:rsidRPr="0042152F">
        <w:rPr>
          <w:rFonts w:ascii="Times New Roman" w:hAnsi="Times New Roman" w:cs="Times New Roman"/>
          <w:sz w:val="24"/>
          <w:szCs w:val="24"/>
        </w:rPr>
        <w:t xml:space="preserve">withhold </w:t>
      </w:r>
      <w:r w:rsidR="00A7737C" w:rsidRPr="0042152F">
        <w:rPr>
          <w:rFonts w:ascii="Times New Roman" w:hAnsi="Times New Roman" w:cs="Times New Roman"/>
          <w:sz w:val="24"/>
          <w:szCs w:val="24"/>
        </w:rPr>
        <w:t>information about the special committee</w:t>
      </w:r>
      <w:r w:rsidR="00CF2FAB">
        <w:rPr>
          <w:rFonts w:ascii="Times New Roman" w:hAnsi="Times New Roman" w:cs="Times New Roman"/>
          <w:sz w:val="24"/>
          <w:szCs w:val="24"/>
        </w:rPr>
        <w:t xml:space="preserve">, we offer a  second proposal: </w:t>
      </w:r>
      <w:r w:rsidR="00CF2FAB" w:rsidRPr="0042152F">
        <w:rPr>
          <w:rFonts w:ascii="Times New Roman" w:hAnsi="Times New Roman" w:cs="Times New Roman"/>
          <w:sz w:val="24"/>
          <w:szCs w:val="24"/>
        </w:rPr>
        <w:t xml:space="preserve"> </w:t>
      </w:r>
      <w:r w:rsidR="008207CD" w:rsidRPr="0042152F">
        <w:rPr>
          <w:rFonts w:ascii="Times New Roman" w:hAnsi="Times New Roman" w:cs="Times New Roman"/>
          <w:sz w:val="24"/>
          <w:szCs w:val="24"/>
        </w:rPr>
        <w:t xml:space="preserve">if the company fully and accurately describes the special committee process (including any flaws) to shareholders and secures a vote approving the transaction, </w:t>
      </w:r>
      <w:r w:rsidR="004345DF" w:rsidRPr="0042152F">
        <w:rPr>
          <w:rFonts w:ascii="Times New Roman" w:hAnsi="Times New Roman" w:cs="Times New Roman"/>
          <w:sz w:val="24"/>
          <w:szCs w:val="24"/>
        </w:rPr>
        <w:t>this</w:t>
      </w:r>
      <w:r w:rsidRPr="0042152F">
        <w:rPr>
          <w:rFonts w:ascii="Times New Roman" w:hAnsi="Times New Roman" w:cs="Times New Roman"/>
          <w:sz w:val="24"/>
          <w:szCs w:val="24"/>
        </w:rPr>
        <w:t xml:space="preserve"> vote </w:t>
      </w:r>
      <w:r w:rsidR="00EB18BD">
        <w:rPr>
          <w:rFonts w:ascii="Times New Roman" w:hAnsi="Times New Roman" w:cs="Times New Roman"/>
          <w:sz w:val="24"/>
          <w:szCs w:val="24"/>
        </w:rPr>
        <w:t>sh</w:t>
      </w:r>
      <w:r w:rsidR="004146AF" w:rsidRPr="0042152F">
        <w:rPr>
          <w:rFonts w:ascii="Times New Roman" w:hAnsi="Times New Roman" w:cs="Times New Roman"/>
          <w:sz w:val="24"/>
          <w:szCs w:val="24"/>
        </w:rPr>
        <w:t xml:space="preserve">ould </w:t>
      </w:r>
      <w:r w:rsidR="00D05378" w:rsidRPr="0042152F">
        <w:rPr>
          <w:rFonts w:ascii="Times New Roman" w:hAnsi="Times New Roman" w:cs="Times New Roman"/>
          <w:sz w:val="24"/>
          <w:szCs w:val="24"/>
        </w:rPr>
        <w:t xml:space="preserve">immunize the transaction from post-closing challenges to the </w:t>
      </w:r>
      <w:r w:rsidR="003D686D" w:rsidRPr="0042152F">
        <w:rPr>
          <w:rFonts w:ascii="Times New Roman" w:hAnsi="Times New Roman" w:cs="Times New Roman"/>
          <w:sz w:val="24"/>
          <w:szCs w:val="24"/>
        </w:rPr>
        <w:t xml:space="preserve">special committee </w:t>
      </w:r>
      <w:r w:rsidR="003D686D" w:rsidRPr="0042152F">
        <w:rPr>
          <w:rFonts w:ascii="Times New Roman" w:hAnsi="Times New Roman" w:cs="Times New Roman"/>
          <w:i/>
          <w:iCs/>
          <w:sz w:val="24"/>
          <w:szCs w:val="24"/>
        </w:rPr>
        <w:t>MFW</w:t>
      </w:r>
      <w:r w:rsidR="003D686D" w:rsidRPr="0042152F">
        <w:rPr>
          <w:rFonts w:ascii="Times New Roman" w:hAnsi="Times New Roman" w:cs="Times New Roman"/>
          <w:sz w:val="24"/>
          <w:szCs w:val="24"/>
        </w:rPr>
        <w:t xml:space="preserve"> condition</w:t>
      </w:r>
      <w:r w:rsidRPr="0042152F">
        <w:rPr>
          <w:rFonts w:ascii="Times New Roman" w:hAnsi="Times New Roman" w:cs="Times New Roman"/>
          <w:sz w:val="24"/>
          <w:szCs w:val="24"/>
        </w:rPr>
        <w:t>.</w:t>
      </w:r>
      <w:r w:rsidR="00465FDF"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Adopting this </w:t>
      </w:r>
      <w:r w:rsidR="003D686D" w:rsidRPr="0042152F">
        <w:rPr>
          <w:rFonts w:ascii="Times New Roman" w:hAnsi="Times New Roman" w:cs="Times New Roman"/>
          <w:i/>
          <w:iCs/>
          <w:sz w:val="24"/>
          <w:szCs w:val="24"/>
        </w:rPr>
        <w:t>Corwin</w:t>
      </w:r>
      <w:r w:rsidR="003D686D" w:rsidRPr="0042152F">
        <w:rPr>
          <w:rFonts w:ascii="Times New Roman" w:hAnsi="Times New Roman" w:cs="Times New Roman"/>
          <w:sz w:val="24"/>
          <w:szCs w:val="24"/>
        </w:rPr>
        <w:t>-style</w:t>
      </w:r>
      <w:r w:rsidRPr="0042152F">
        <w:rPr>
          <w:rFonts w:ascii="Times New Roman" w:hAnsi="Times New Roman" w:cs="Times New Roman"/>
          <w:sz w:val="24"/>
          <w:szCs w:val="24"/>
        </w:rPr>
        <w:t xml:space="preserve"> rule would incentivize companies to disclose comprehensive information about the bargaining process and any </w:t>
      </w:r>
      <w:r w:rsidR="008207CD" w:rsidRPr="0042152F">
        <w:rPr>
          <w:rFonts w:ascii="Times New Roman" w:hAnsi="Times New Roman" w:cs="Times New Roman"/>
          <w:sz w:val="24"/>
          <w:szCs w:val="24"/>
        </w:rPr>
        <w:t xml:space="preserve">committee </w:t>
      </w:r>
      <w:r w:rsidRPr="0042152F">
        <w:rPr>
          <w:rFonts w:ascii="Times New Roman" w:hAnsi="Times New Roman" w:cs="Times New Roman"/>
          <w:sz w:val="24"/>
          <w:szCs w:val="24"/>
        </w:rPr>
        <w:t xml:space="preserve">conflicts before the </w:t>
      </w:r>
      <w:r w:rsidR="00246BD3" w:rsidRPr="0042152F">
        <w:rPr>
          <w:rFonts w:ascii="Times New Roman" w:hAnsi="Times New Roman" w:cs="Times New Roman"/>
          <w:sz w:val="24"/>
          <w:szCs w:val="24"/>
        </w:rPr>
        <w:t>shareholder vote</w:t>
      </w:r>
      <w:r w:rsidRPr="0042152F">
        <w:rPr>
          <w:rFonts w:ascii="Times New Roman" w:hAnsi="Times New Roman" w:cs="Times New Roman"/>
          <w:sz w:val="24"/>
          <w:szCs w:val="24"/>
        </w:rPr>
        <w:t>.</w:t>
      </w:r>
      <w:r w:rsidR="009A43A8" w:rsidRPr="0042152F">
        <w:rPr>
          <w:rStyle w:val="FootnoteReference"/>
          <w:rFonts w:ascii="Times New Roman" w:hAnsi="Times New Roman" w:cs="Times New Roman"/>
          <w:sz w:val="24"/>
          <w:szCs w:val="24"/>
        </w:rPr>
        <w:footnoteReference w:id="53"/>
      </w:r>
      <w:r w:rsidR="009A43A8"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However, </w:t>
      </w:r>
      <w:r w:rsidR="004345DF" w:rsidRPr="0042152F">
        <w:rPr>
          <w:rFonts w:ascii="Times New Roman" w:hAnsi="Times New Roman" w:cs="Times New Roman"/>
          <w:sz w:val="24"/>
          <w:szCs w:val="24"/>
        </w:rPr>
        <w:t xml:space="preserve">the </w:t>
      </w:r>
      <w:r w:rsidRPr="0042152F">
        <w:rPr>
          <w:rFonts w:ascii="Times New Roman" w:hAnsi="Times New Roman" w:cs="Times New Roman"/>
          <w:sz w:val="24"/>
          <w:szCs w:val="24"/>
        </w:rPr>
        <w:t xml:space="preserve">failure to make such disclosures would not invalidate the vote; instead, it would allow litigants to challenge the </w:t>
      </w:r>
      <w:r w:rsidR="00B00678" w:rsidRPr="0042152F">
        <w:rPr>
          <w:rFonts w:ascii="Times New Roman" w:hAnsi="Times New Roman" w:cs="Times New Roman"/>
          <w:sz w:val="24"/>
          <w:szCs w:val="24"/>
        </w:rPr>
        <w:t xml:space="preserve">special committee </w:t>
      </w:r>
      <w:r w:rsidRPr="0042152F">
        <w:rPr>
          <w:rFonts w:ascii="Times New Roman" w:hAnsi="Times New Roman" w:cs="Times New Roman"/>
          <w:sz w:val="24"/>
          <w:szCs w:val="24"/>
        </w:rPr>
        <w:t xml:space="preserve">process and seek entire fairness </w:t>
      </w:r>
      <w:r w:rsidRPr="009A43A8">
        <w:rPr>
          <w:rFonts w:ascii="Times New Roman" w:hAnsi="Times New Roman" w:cs="Times New Roman"/>
          <w:sz w:val="24"/>
          <w:szCs w:val="24"/>
        </w:rPr>
        <w:t xml:space="preserve">review </w:t>
      </w:r>
      <w:r w:rsidR="00832EEE" w:rsidRPr="009A43A8">
        <w:rPr>
          <w:rFonts w:ascii="Times New Roman" w:hAnsi="Times New Roman" w:cs="Times New Roman"/>
          <w:sz w:val="24"/>
          <w:szCs w:val="24"/>
        </w:rPr>
        <w:t>(</w:t>
      </w:r>
      <w:r w:rsidRPr="009A43A8">
        <w:rPr>
          <w:rFonts w:ascii="Times New Roman" w:hAnsi="Times New Roman" w:cs="Times New Roman"/>
          <w:sz w:val="24"/>
          <w:szCs w:val="24"/>
        </w:rPr>
        <w:t xml:space="preserve">with </w:t>
      </w:r>
      <w:r w:rsidR="009A43A8" w:rsidRPr="009A43A8">
        <w:rPr>
          <w:rFonts w:ascii="Times New Roman" w:hAnsi="Times New Roman" w:cs="Times New Roman"/>
          <w:sz w:val="24"/>
          <w:szCs w:val="24"/>
        </w:rPr>
        <w:t>the</w:t>
      </w:r>
      <w:r w:rsidR="008207CD" w:rsidRPr="009A43A8">
        <w:rPr>
          <w:rFonts w:ascii="Times New Roman" w:hAnsi="Times New Roman" w:cs="Times New Roman"/>
          <w:sz w:val="24"/>
          <w:szCs w:val="24"/>
        </w:rPr>
        <w:t xml:space="preserve"> </w:t>
      </w:r>
      <w:r w:rsidRPr="009A43A8">
        <w:rPr>
          <w:rFonts w:ascii="Times New Roman" w:hAnsi="Times New Roman" w:cs="Times New Roman"/>
          <w:sz w:val="24"/>
          <w:szCs w:val="24"/>
        </w:rPr>
        <w:t>burden shift</w:t>
      </w:r>
      <w:r w:rsidR="00832EEE" w:rsidRPr="009A43A8">
        <w:rPr>
          <w:rFonts w:ascii="Times New Roman" w:hAnsi="Times New Roman" w:cs="Times New Roman"/>
          <w:sz w:val="24"/>
          <w:szCs w:val="24"/>
        </w:rPr>
        <w:t xml:space="preserve"> that accompanies transactions that have been cleansed by a single mechanism)</w:t>
      </w:r>
      <w:r w:rsidRPr="009A43A8">
        <w:rPr>
          <w:rFonts w:ascii="Times New Roman" w:hAnsi="Times New Roman" w:cs="Times New Roman"/>
          <w:sz w:val="24"/>
          <w:szCs w:val="24"/>
        </w:rPr>
        <w:t>.</w:t>
      </w:r>
      <w:r w:rsidR="00664370" w:rsidRPr="009A43A8">
        <w:rPr>
          <w:rFonts w:ascii="Times New Roman" w:hAnsi="Times New Roman" w:cs="Times New Roman"/>
          <w:sz w:val="24"/>
          <w:szCs w:val="24"/>
        </w:rPr>
        <w:t xml:space="preserve"> </w:t>
      </w:r>
      <w:r w:rsidR="002467BE" w:rsidRPr="009A43A8">
        <w:rPr>
          <w:rFonts w:ascii="Times New Roman" w:hAnsi="Times New Roman" w:cs="Times New Roman"/>
          <w:sz w:val="24"/>
          <w:szCs w:val="24"/>
        </w:rPr>
        <w:t>Additionally, this rule would permit investors to seek an injunction before the vote</w:t>
      </w:r>
      <w:r w:rsidR="008207CD" w:rsidRPr="009A43A8">
        <w:rPr>
          <w:rFonts w:ascii="Times New Roman" w:hAnsi="Times New Roman" w:cs="Times New Roman"/>
          <w:sz w:val="24"/>
          <w:szCs w:val="24"/>
        </w:rPr>
        <w:t xml:space="preserve"> has taken </w:t>
      </w:r>
      <w:r w:rsidR="008207CD" w:rsidRPr="0042152F">
        <w:rPr>
          <w:rFonts w:ascii="Times New Roman" w:hAnsi="Times New Roman" w:cs="Times New Roman"/>
          <w:sz w:val="24"/>
          <w:szCs w:val="24"/>
        </w:rPr>
        <w:t>place</w:t>
      </w:r>
      <w:r w:rsidR="002467BE" w:rsidRPr="0042152F">
        <w:rPr>
          <w:rFonts w:ascii="Times New Roman" w:hAnsi="Times New Roman" w:cs="Times New Roman"/>
          <w:sz w:val="24"/>
          <w:szCs w:val="24"/>
        </w:rPr>
        <w:t xml:space="preserve"> if they believe that the disclosures are inadequate or that the special committee members have breached their duties to the company and its shareholders</w:t>
      </w:r>
      <w:r w:rsidR="00141599" w:rsidRPr="0042152F">
        <w:rPr>
          <w:rFonts w:ascii="Times New Roman" w:hAnsi="Times New Roman" w:cs="Times New Roman"/>
          <w:sz w:val="24"/>
          <w:szCs w:val="24"/>
        </w:rPr>
        <w:t>.</w:t>
      </w:r>
      <w:r w:rsidR="003C4B59">
        <w:rPr>
          <w:rFonts w:ascii="Times New Roman" w:hAnsi="Times New Roman" w:cs="Times New Roman"/>
          <w:sz w:val="24"/>
          <w:szCs w:val="24"/>
        </w:rPr>
        <w:t xml:space="preserve"> </w:t>
      </w:r>
      <w:r w:rsidR="00CF2FAB">
        <w:rPr>
          <w:rFonts w:ascii="Times New Roman" w:hAnsi="Times New Roman" w:cs="Times New Roman"/>
          <w:sz w:val="24"/>
          <w:szCs w:val="24"/>
        </w:rPr>
        <w:t>All in all, t</w:t>
      </w:r>
      <w:r w:rsidR="00CF2FAB" w:rsidRPr="0042152F">
        <w:rPr>
          <w:rFonts w:ascii="Times New Roman" w:hAnsi="Times New Roman" w:cs="Times New Roman"/>
          <w:sz w:val="24"/>
          <w:szCs w:val="24"/>
        </w:rPr>
        <w:t xml:space="preserve">hese </w:t>
      </w:r>
      <w:r w:rsidR="00CF2FAB">
        <w:rPr>
          <w:rFonts w:ascii="Times New Roman" w:hAnsi="Times New Roman" w:cs="Times New Roman"/>
          <w:sz w:val="24"/>
          <w:szCs w:val="24"/>
        </w:rPr>
        <w:t xml:space="preserve">dual </w:t>
      </w:r>
      <w:r w:rsidR="00CA19B3" w:rsidRPr="0042152F">
        <w:rPr>
          <w:rFonts w:ascii="Times New Roman" w:hAnsi="Times New Roman" w:cs="Times New Roman"/>
          <w:sz w:val="24"/>
          <w:szCs w:val="24"/>
        </w:rPr>
        <w:t xml:space="preserve">modifications </w:t>
      </w:r>
      <w:r w:rsidR="00465FDF" w:rsidRPr="0042152F">
        <w:rPr>
          <w:rFonts w:ascii="Times New Roman" w:hAnsi="Times New Roman" w:cs="Times New Roman"/>
          <w:sz w:val="24"/>
          <w:szCs w:val="24"/>
        </w:rPr>
        <w:t xml:space="preserve">would </w:t>
      </w:r>
      <w:r w:rsidR="00EA29CC">
        <w:rPr>
          <w:rFonts w:ascii="Times New Roman" w:hAnsi="Times New Roman" w:cs="Times New Roman"/>
          <w:sz w:val="24"/>
          <w:szCs w:val="24"/>
        </w:rPr>
        <w:t xml:space="preserve">not just restore </w:t>
      </w:r>
      <w:r w:rsidR="00EA29CC">
        <w:rPr>
          <w:rFonts w:ascii="Times New Roman" w:hAnsi="Times New Roman" w:cs="Times New Roman"/>
          <w:i/>
          <w:iCs/>
          <w:sz w:val="24"/>
          <w:szCs w:val="24"/>
        </w:rPr>
        <w:t xml:space="preserve">MFW </w:t>
      </w:r>
      <w:r w:rsidR="00EA29CC">
        <w:rPr>
          <w:rFonts w:ascii="Times New Roman" w:hAnsi="Times New Roman" w:cs="Times New Roman"/>
          <w:sz w:val="24"/>
          <w:szCs w:val="24"/>
        </w:rPr>
        <w:t xml:space="preserve">cleansing to its intended purpose, </w:t>
      </w:r>
      <w:r w:rsidR="00CF2FAB">
        <w:rPr>
          <w:rFonts w:ascii="Times New Roman" w:hAnsi="Times New Roman" w:cs="Times New Roman"/>
          <w:sz w:val="24"/>
          <w:szCs w:val="24"/>
        </w:rPr>
        <w:t>they</w:t>
      </w:r>
      <w:r w:rsidR="00EA29CC">
        <w:rPr>
          <w:rFonts w:ascii="Times New Roman" w:hAnsi="Times New Roman" w:cs="Times New Roman"/>
          <w:sz w:val="24"/>
          <w:szCs w:val="24"/>
        </w:rPr>
        <w:t xml:space="preserve"> would also </w:t>
      </w:r>
      <w:r w:rsidR="00465FDF" w:rsidRPr="0042152F">
        <w:rPr>
          <w:rFonts w:ascii="Times New Roman" w:hAnsi="Times New Roman" w:cs="Times New Roman"/>
          <w:sz w:val="24"/>
          <w:szCs w:val="24"/>
        </w:rPr>
        <w:t xml:space="preserve">dramatically reduce the need for courts </w:t>
      </w:r>
      <w:r w:rsidR="00D00FFB">
        <w:rPr>
          <w:rFonts w:ascii="Times New Roman" w:hAnsi="Times New Roman" w:cs="Times New Roman"/>
          <w:sz w:val="24"/>
          <w:szCs w:val="24"/>
        </w:rPr>
        <w:t xml:space="preserve">to </w:t>
      </w:r>
      <w:r w:rsidR="00EC1B56" w:rsidRPr="0042152F">
        <w:rPr>
          <w:rFonts w:ascii="Times New Roman" w:hAnsi="Times New Roman" w:cs="Times New Roman"/>
          <w:sz w:val="24"/>
          <w:szCs w:val="24"/>
        </w:rPr>
        <w:t xml:space="preserve">engage in the impossible task of valuing </w:t>
      </w:r>
      <w:r w:rsidR="00465FDF" w:rsidRPr="0042152F">
        <w:rPr>
          <w:rFonts w:ascii="Times New Roman" w:hAnsi="Times New Roman" w:cs="Times New Roman"/>
          <w:sz w:val="24"/>
          <w:szCs w:val="24"/>
        </w:rPr>
        <w:t xml:space="preserve">a controller’s idiosyncratic vision. </w:t>
      </w:r>
    </w:p>
    <w:p w14:paraId="775DE761" w14:textId="045D0A4A" w:rsidR="009A43A8" w:rsidRDefault="00CA19B3"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Our third proposal, however</w:t>
      </w:r>
      <w:r w:rsidR="00465FDF" w:rsidRPr="0042152F">
        <w:rPr>
          <w:rFonts w:ascii="Times New Roman" w:hAnsi="Times New Roman" w:cs="Times New Roman"/>
          <w:sz w:val="24"/>
          <w:szCs w:val="24"/>
        </w:rPr>
        <w:t xml:space="preserve">, </w:t>
      </w:r>
      <w:r w:rsidR="0001145C" w:rsidRPr="0042152F">
        <w:rPr>
          <w:rFonts w:ascii="Times New Roman" w:hAnsi="Times New Roman" w:cs="Times New Roman"/>
          <w:sz w:val="24"/>
          <w:szCs w:val="24"/>
        </w:rPr>
        <w:t>is directed at</w:t>
      </w:r>
      <w:r w:rsidR="00465FDF" w:rsidRPr="0042152F">
        <w:rPr>
          <w:rFonts w:ascii="Times New Roman" w:hAnsi="Times New Roman" w:cs="Times New Roman"/>
          <w:sz w:val="24"/>
          <w:szCs w:val="24"/>
        </w:rPr>
        <w:t xml:space="preserve"> courts </w:t>
      </w:r>
      <w:r w:rsidR="00832EEE" w:rsidRPr="0042152F">
        <w:rPr>
          <w:rFonts w:ascii="Times New Roman" w:hAnsi="Times New Roman" w:cs="Times New Roman"/>
          <w:sz w:val="24"/>
          <w:szCs w:val="24"/>
        </w:rPr>
        <w:t xml:space="preserve">that must </w:t>
      </w:r>
      <w:r w:rsidR="00465FDF" w:rsidRPr="0042152F">
        <w:rPr>
          <w:rFonts w:ascii="Times New Roman" w:hAnsi="Times New Roman" w:cs="Times New Roman"/>
          <w:sz w:val="24"/>
          <w:szCs w:val="24"/>
        </w:rPr>
        <w:t>determin</w:t>
      </w:r>
      <w:r w:rsidR="00832EEE" w:rsidRPr="0042152F">
        <w:rPr>
          <w:rFonts w:ascii="Times New Roman" w:hAnsi="Times New Roman" w:cs="Times New Roman"/>
          <w:sz w:val="24"/>
          <w:szCs w:val="24"/>
        </w:rPr>
        <w:t>e</w:t>
      </w:r>
      <w:r w:rsidR="00465FDF" w:rsidRPr="0042152F">
        <w:rPr>
          <w:rFonts w:ascii="Times New Roman" w:hAnsi="Times New Roman" w:cs="Times New Roman"/>
          <w:sz w:val="24"/>
          <w:szCs w:val="24"/>
        </w:rPr>
        <w:t xml:space="preserve"> fair value when </w:t>
      </w:r>
      <w:r w:rsidR="00832EEE" w:rsidRPr="0042152F">
        <w:rPr>
          <w:rFonts w:ascii="Times New Roman" w:hAnsi="Times New Roman" w:cs="Times New Roman"/>
          <w:sz w:val="24"/>
          <w:szCs w:val="24"/>
        </w:rPr>
        <w:t xml:space="preserve">the </w:t>
      </w:r>
      <w:r w:rsidR="00465FDF" w:rsidRPr="0042152F">
        <w:rPr>
          <w:rFonts w:ascii="Times New Roman" w:hAnsi="Times New Roman" w:cs="Times New Roman"/>
          <w:i/>
          <w:iCs/>
          <w:sz w:val="24"/>
          <w:szCs w:val="24"/>
        </w:rPr>
        <w:t>MFW</w:t>
      </w:r>
      <w:r w:rsidR="00465FDF" w:rsidRPr="0042152F">
        <w:rPr>
          <w:rFonts w:ascii="Times New Roman" w:hAnsi="Times New Roman" w:cs="Times New Roman"/>
          <w:sz w:val="24"/>
          <w:szCs w:val="24"/>
        </w:rPr>
        <w:t xml:space="preserve"> </w:t>
      </w:r>
      <w:r w:rsidR="00B250DA" w:rsidRPr="0042152F">
        <w:rPr>
          <w:rFonts w:ascii="Times New Roman" w:hAnsi="Times New Roman" w:cs="Times New Roman"/>
          <w:sz w:val="24"/>
          <w:szCs w:val="24"/>
        </w:rPr>
        <w:t xml:space="preserve">conditions </w:t>
      </w:r>
      <w:r w:rsidR="00465FDF" w:rsidRPr="0042152F">
        <w:rPr>
          <w:rFonts w:ascii="Times New Roman" w:hAnsi="Times New Roman" w:cs="Times New Roman"/>
          <w:sz w:val="24"/>
          <w:szCs w:val="24"/>
        </w:rPr>
        <w:t>are not met</w:t>
      </w:r>
      <w:r w:rsidR="009E17D0">
        <w:rPr>
          <w:rFonts w:ascii="Times New Roman" w:hAnsi="Times New Roman" w:cs="Times New Roman"/>
          <w:sz w:val="24"/>
          <w:szCs w:val="24"/>
        </w:rPr>
        <w:t>, which can be an impossible task</w:t>
      </w:r>
      <w:r w:rsidR="00EC1B56" w:rsidRPr="0042152F">
        <w:rPr>
          <w:rFonts w:ascii="Times New Roman" w:hAnsi="Times New Roman" w:cs="Times New Roman"/>
          <w:sz w:val="24"/>
          <w:szCs w:val="24"/>
        </w:rPr>
        <w:t xml:space="preserve">. </w:t>
      </w:r>
      <w:r w:rsidR="009E17D0">
        <w:rPr>
          <w:rFonts w:ascii="Times New Roman" w:hAnsi="Times New Roman" w:cs="Times New Roman"/>
          <w:sz w:val="24"/>
          <w:szCs w:val="24"/>
        </w:rPr>
        <w:t>And yet,</w:t>
      </w:r>
      <w:r w:rsidR="00EC1B56" w:rsidRPr="0042152F">
        <w:rPr>
          <w:rFonts w:ascii="Times New Roman" w:hAnsi="Times New Roman" w:cs="Times New Roman"/>
          <w:sz w:val="24"/>
          <w:szCs w:val="24"/>
        </w:rPr>
        <w:t xml:space="preserve"> </w:t>
      </w:r>
      <w:r w:rsidR="00EC1B56" w:rsidRPr="0042152F">
        <w:rPr>
          <w:rFonts w:ascii="Times New Roman" w:hAnsi="Times New Roman" w:cs="Times New Roman"/>
          <w:i/>
          <w:iCs/>
          <w:sz w:val="24"/>
          <w:szCs w:val="24"/>
        </w:rPr>
        <w:t xml:space="preserve">MFW </w:t>
      </w:r>
      <w:r w:rsidR="00EC1B56" w:rsidRPr="0042152F">
        <w:rPr>
          <w:rFonts w:ascii="Times New Roman" w:hAnsi="Times New Roman" w:cs="Times New Roman"/>
          <w:sz w:val="24"/>
          <w:szCs w:val="24"/>
        </w:rPr>
        <w:t>provides the roadmap for this review</w:t>
      </w:r>
      <w:r w:rsidR="00B97218">
        <w:rPr>
          <w:rFonts w:ascii="Times New Roman" w:hAnsi="Times New Roman" w:cs="Times New Roman"/>
          <w:sz w:val="24"/>
          <w:szCs w:val="24"/>
        </w:rPr>
        <w:t>.</w:t>
      </w:r>
      <w:r w:rsidR="00EC1B56" w:rsidRPr="0042152F">
        <w:rPr>
          <w:rFonts w:ascii="Times New Roman" w:hAnsi="Times New Roman" w:cs="Times New Roman"/>
          <w:sz w:val="24"/>
          <w:szCs w:val="24"/>
        </w:rPr>
        <w:t xml:space="preserve"> </w:t>
      </w:r>
      <w:r w:rsidR="00B97218">
        <w:rPr>
          <w:rFonts w:ascii="Times New Roman" w:hAnsi="Times New Roman" w:cs="Times New Roman"/>
          <w:sz w:val="24"/>
          <w:szCs w:val="24"/>
        </w:rPr>
        <w:t>First, w</w:t>
      </w:r>
      <w:r w:rsidR="00465FDF" w:rsidRPr="0042152F">
        <w:rPr>
          <w:rFonts w:ascii="Times New Roman" w:hAnsi="Times New Roman" w:cs="Times New Roman"/>
          <w:sz w:val="24"/>
          <w:szCs w:val="24"/>
        </w:rPr>
        <w:t xml:space="preserve">here </w:t>
      </w:r>
      <w:r w:rsidR="00465FDF" w:rsidRPr="0042152F">
        <w:rPr>
          <w:rFonts w:ascii="Times New Roman" w:hAnsi="Times New Roman" w:cs="Times New Roman"/>
          <w:i/>
          <w:iCs/>
          <w:sz w:val="24"/>
          <w:szCs w:val="24"/>
        </w:rPr>
        <w:t xml:space="preserve">MFW </w:t>
      </w:r>
      <w:r w:rsidR="00465FDF" w:rsidRPr="0042152F">
        <w:rPr>
          <w:rFonts w:ascii="Times New Roman" w:hAnsi="Times New Roman" w:cs="Times New Roman"/>
          <w:sz w:val="24"/>
          <w:szCs w:val="24"/>
        </w:rPr>
        <w:t>does not apply</w:t>
      </w:r>
      <w:r w:rsidR="00832EEE" w:rsidRPr="0042152F">
        <w:rPr>
          <w:rFonts w:ascii="Times New Roman" w:hAnsi="Times New Roman" w:cs="Times New Roman"/>
          <w:sz w:val="24"/>
          <w:szCs w:val="24"/>
        </w:rPr>
        <w:t xml:space="preserve">, </w:t>
      </w:r>
      <w:r w:rsidR="00465FDF" w:rsidRPr="0042152F">
        <w:rPr>
          <w:rFonts w:ascii="Times New Roman" w:hAnsi="Times New Roman" w:cs="Times New Roman"/>
          <w:sz w:val="24"/>
          <w:szCs w:val="24"/>
        </w:rPr>
        <w:t xml:space="preserve">the court lacks assurance that an independent decisionmaker has accepted the entrepreneur’s vision or its price. In such cases, the burden </w:t>
      </w:r>
      <w:r w:rsidR="00832EEE" w:rsidRPr="0042152F">
        <w:rPr>
          <w:rFonts w:ascii="Times New Roman" w:hAnsi="Times New Roman" w:cs="Times New Roman"/>
          <w:sz w:val="24"/>
          <w:szCs w:val="24"/>
        </w:rPr>
        <w:t>should be</w:t>
      </w:r>
      <w:r w:rsidR="007B5BD7" w:rsidRPr="0042152F">
        <w:rPr>
          <w:rFonts w:ascii="Times New Roman" w:hAnsi="Times New Roman" w:cs="Times New Roman"/>
          <w:sz w:val="24"/>
          <w:szCs w:val="24"/>
        </w:rPr>
        <w:t xml:space="preserve"> </w:t>
      </w:r>
      <w:r w:rsidR="00465FDF" w:rsidRPr="0042152F">
        <w:rPr>
          <w:rFonts w:ascii="Times New Roman" w:hAnsi="Times New Roman" w:cs="Times New Roman"/>
          <w:sz w:val="24"/>
          <w:szCs w:val="24"/>
        </w:rPr>
        <w:t xml:space="preserve">on the defendant to show that the price was appropriate relative to the </w:t>
      </w:r>
      <w:r w:rsidR="00970C7A" w:rsidRPr="0042152F">
        <w:rPr>
          <w:rFonts w:ascii="Times New Roman" w:hAnsi="Times New Roman" w:cs="Times New Roman"/>
          <w:i/>
          <w:iCs/>
          <w:sz w:val="24"/>
          <w:szCs w:val="24"/>
        </w:rPr>
        <w:t xml:space="preserve">average value </w:t>
      </w:r>
      <w:r w:rsidR="00970C7A" w:rsidRPr="0042152F">
        <w:rPr>
          <w:rFonts w:ascii="Times New Roman" w:hAnsi="Times New Roman" w:cs="Times New Roman"/>
          <w:sz w:val="24"/>
          <w:szCs w:val="24"/>
        </w:rPr>
        <w:t xml:space="preserve">of the </w:t>
      </w:r>
      <w:r w:rsidR="00465FDF" w:rsidRPr="0042152F">
        <w:rPr>
          <w:rFonts w:ascii="Times New Roman" w:hAnsi="Times New Roman" w:cs="Times New Roman"/>
          <w:sz w:val="24"/>
          <w:szCs w:val="24"/>
        </w:rPr>
        <w:t>asset</w:t>
      </w:r>
      <w:r w:rsidR="00970C7A" w:rsidRPr="0042152F">
        <w:rPr>
          <w:rFonts w:ascii="Times New Roman" w:hAnsi="Times New Roman" w:cs="Times New Roman"/>
          <w:sz w:val="24"/>
          <w:szCs w:val="24"/>
        </w:rPr>
        <w:t xml:space="preserve"> or the transaction</w:t>
      </w:r>
      <w:r w:rsidR="00EC1B56" w:rsidRPr="0042152F">
        <w:rPr>
          <w:rFonts w:ascii="Times New Roman" w:hAnsi="Times New Roman" w:cs="Times New Roman"/>
          <w:sz w:val="24"/>
          <w:szCs w:val="24"/>
        </w:rPr>
        <w:t xml:space="preserve"> in question</w:t>
      </w:r>
      <w:r w:rsidR="00970C7A" w:rsidRPr="0042152F">
        <w:rPr>
          <w:rFonts w:ascii="Times New Roman" w:hAnsi="Times New Roman" w:cs="Times New Roman"/>
          <w:sz w:val="24"/>
          <w:szCs w:val="24"/>
        </w:rPr>
        <w:t xml:space="preserve">. </w:t>
      </w:r>
      <w:r w:rsidR="00452CC2" w:rsidRPr="0042152F">
        <w:rPr>
          <w:rFonts w:ascii="Times New Roman" w:hAnsi="Times New Roman" w:cs="Times New Roman"/>
          <w:sz w:val="24"/>
          <w:szCs w:val="24"/>
        </w:rPr>
        <w:t xml:space="preserve">In other words, </w:t>
      </w:r>
      <w:r w:rsidR="00D349E1" w:rsidRPr="0042152F">
        <w:rPr>
          <w:rFonts w:ascii="Times New Roman" w:hAnsi="Times New Roman" w:cs="Times New Roman"/>
          <w:sz w:val="24"/>
          <w:szCs w:val="24"/>
        </w:rPr>
        <w:t xml:space="preserve">courts should be reluctant to </w:t>
      </w:r>
      <w:r w:rsidR="0022714B" w:rsidRPr="0042152F">
        <w:rPr>
          <w:rFonts w:ascii="Times New Roman" w:hAnsi="Times New Roman" w:cs="Times New Roman"/>
          <w:sz w:val="24"/>
          <w:szCs w:val="24"/>
        </w:rPr>
        <w:t xml:space="preserve">accept a controller’s claim that </w:t>
      </w:r>
      <w:r w:rsidR="00EC1B56" w:rsidRPr="0042152F">
        <w:rPr>
          <w:rFonts w:ascii="Times New Roman" w:hAnsi="Times New Roman" w:cs="Times New Roman"/>
          <w:sz w:val="24"/>
          <w:szCs w:val="24"/>
        </w:rPr>
        <w:t xml:space="preserve">their </w:t>
      </w:r>
      <w:r w:rsidR="00845E1A" w:rsidRPr="0042152F">
        <w:rPr>
          <w:rFonts w:ascii="Times New Roman" w:hAnsi="Times New Roman" w:cs="Times New Roman"/>
          <w:sz w:val="24"/>
          <w:szCs w:val="24"/>
        </w:rPr>
        <w:t xml:space="preserve">vision justifies </w:t>
      </w:r>
      <w:r w:rsidR="00EC1B56" w:rsidRPr="0042152F">
        <w:rPr>
          <w:rFonts w:ascii="Times New Roman" w:hAnsi="Times New Roman" w:cs="Times New Roman"/>
          <w:sz w:val="24"/>
          <w:szCs w:val="24"/>
        </w:rPr>
        <w:t>a price that is beyond the</w:t>
      </w:r>
      <w:r w:rsidR="00F15EFD" w:rsidRPr="0042152F">
        <w:rPr>
          <w:rFonts w:ascii="Times New Roman" w:hAnsi="Times New Roman" w:cs="Times New Roman"/>
          <w:sz w:val="24"/>
          <w:szCs w:val="24"/>
        </w:rPr>
        <w:t xml:space="preserve"> range of comparable market transactions when that controller </w:t>
      </w:r>
      <w:r w:rsidR="00DB1DAA" w:rsidRPr="0042152F">
        <w:rPr>
          <w:rFonts w:ascii="Times New Roman" w:hAnsi="Times New Roman" w:cs="Times New Roman"/>
          <w:sz w:val="24"/>
          <w:szCs w:val="24"/>
        </w:rPr>
        <w:t xml:space="preserve">failed to </w:t>
      </w:r>
      <w:r w:rsidR="00452CC2" w:rsidRPr="0042152F">
        <w:rPr>
          <w:rFonts w:ascii="Times New Roman" w:hAnsi="Times New Roman" w:cs="Times New Roman"/>
          <w:sz w:val="24"/>
          <w:szCs w:val="24"/>
        </w:rPr>
        <w:t xml:space="preserve">obtain informed approval </w:t>
      </w:r>
      <w:r w:rsidR="00EC1B56" w:rsidRPr="0042152F">
        <w:rPr>
          <w:rFonts w:ascii="Times New Roman" w:hAnsi="Times New Roman" w:cs="Times New Roman"/>
          <w:sz w:val="24"/>
          <w:szCs w:val="24"/>
        </w:rPr>
        <w:t xml:space="preserve">from the </w:t>
      </w:r>
      <w:r w:rsidR="00DB1DAA" w:rsidRPr="0042152F">
        <w:rPr>
          <w:rFonts w:ascii="Times New Roman" w:hAnsi="Times New Roman" w:cs="Times New Roman"/>
          <w:sz w:val="24"/>
          <w:szCs w:val="24"/>
        </w:rPr>
        <w:t>minority shareholders</w:t>
      </w:r>
      <w:r w:rsidR="00B97218">
        <w:rPr>
          <w:rFonts w:ascii="Times New Roman" w:hAnsi="Times New Roman" w:cs="Times New Roman"/>
          <w:sz w:val="24"/>
          <w:szCs w:val="24"/>
        </w:rPr>
        <w:t xml:space="preserve"> and disinterested directors</w:t>
      </w:r>
      <w:r w:rsidR="00F15EFD" w:rsidRPr="0042152F">
        <w:rPr>
          <w:rFonts w:ascii="Times New Roman" w:hAnsi="Times New Roman" w:cs="Times New Roman"/>
          <w:sz w:val="24"/>
          <w:szCs w:val="24"/>
        </w:rPr>
        <w:t>.</w:t>
      </w:r>
      <w:r w:rsidR="00DB1DAA" w:rsidRPr="0042152F">
        <w:rPr>
          <w:rFonts w:ascii="Times New Roman" w:hAnsi="Times New Roman" w:cs="Times New Roman"/>
          <w:sz w:val="24"/>
          <w:szCs w:val="24"/>
        </w:rPr>
        <w:t xml:space="preserve"> </w:t>
      </w:r>
    </w:p>
    <w:p w14:paraId="6C925649" w14:textId="09FAD8DA" w:rsidR="00947A2C" w:rsidRPr="0042152F" w:rsidRDefault="006E1945"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By contrast, w</w:t>
      </w:r>
      <w:r w:rsidR="003C21E1" w:rsidRPr="0042152F">
        <w:rPr>
          <w:rFonts w:ascii="Times New Roman" w:hAnsi="Times New Roman" w:cs="Times New Roman"/>
          <w:sz w:val="24"/>
          <w:szCs w:val="24"/>
        </w:rPr>
        <w:t>hen</w:t>
      </w:r>
      <w:r w:rsidRPr="0042152F">
        <w:rPr>
          <w:rFonts w:ascii="Times New Roman" w:hAnsi="Times New Roman" w:cs="Times New Roman"/>
          <w:sz w:val="24"/>
          <w:szCs w:val="24"/>
        </w:rPr>
        <w:t xml:space="preserve"> only</w:t>
      </w:r>
      <w:r w:rsidR="003C21E1" w:rsidRPr="0042152F">
        <w:rPr>
          <w:rFonts w:ascii="Times New Roman" w:hAnsi="Times New Roman" w:cs="Times New Roman"/>
          <w:sz w:val="24"/>
          <w:szCs w:val="24"/>
        </w:rPr>
        <w:t xml:space="preserve"> one cleansing mechanism is used, entire fairness remains the standard of review, but the burden shifts to</w:t>
      </w:r>
      <w:r w:rsidR="00CC796A" w:rsidRPr="0042152F">
        <w:rPr>
          <w:rFonts w:ascii="Times New Roman" w:hAnsi="Times New Roman" w:cs="Times New Roman"/>
          <w:sz w:val="24"/>
          <w:szCs w:val="24"/>
        </w:rPr>
        <w:t xml:space="preserve"> the</w:t>
      </w:r>
      <w:r w:rsidR="003C21E1" w:rsidRPr="0042152F">
        <w:rPr>
          <w:rFonts w:ascii="Times New Roman" w:hAnsi="Times New Roman" w:cs="Times New Roman"/>
          <w:sz w:val="24"/>
          <w:szCs w:val="24"/>
        </w:rPr>
        <w:t xml:space="preserve"> plaintiffs to show unfairness.</w:t>
      </w:r>
      <w:r w:rsidR="00832EEE" w:rsidRPr="0042152F">
        <w:rPr>
          <w:rStyle w:val="FootnoteReference"/>
          <w:rFonts w:ascii="Times New Roman" w:hAnsi="Times New Roman" w:cs="Times New Roman"/>
          <w:sz w:val="24"/>
          <w:szCs w:val="24"/>
        </w:rPr>
        <w:footnoteReference w:id="54"/>
      </w:r>
      <w:r w:rsidR="003C21E1" w:rsidRPr="0042152F">
        <w:rPr>
          <w:rFonts w:ascii="Times New Roman" w:hAnsi="Times New Roman" w:cs="Times New Roman"/>
          <w:sz w:val="24"/>
          <w:szCs w:val="24"/>
        </w:rPr>
        <w:t xml:space="preserve"> </w:t>
      </w:r>
      <w:r w:rsidR="00204543" w:rsidRPr="0042152F">
        <w:rPr>
          <w:rFonts w:ascii="Times New Roman" w:hAnsi="Times New Roman" w:cs="Times New Roman"/>
          <w:sz w:val="24"/>
          <w:szCs w:val="24"/>
        </w:rPr>
        <w:t>Whereas t</w:t>
      </w:r>
      <w:r w:rsidR="00F9551B" w:rsidRPr="0042152F">
        <w:rPr>
          <w:rFonts w:ascii="Times New Roman" w:hAnsi="Times New Roman" w:cs="Times New Roman"/>
          <w:sz w:val="24"/>
          <w:szCs w:val="24"/>
        </w:rPr>
        <w:t xml:space="preserve">he existing regime gives equal weight to </w:t>
      </w:r>
      <w:r w:rsidR="0017423A" w:rsidRPr="0042152F">
        <w:rPr>
          <w:rFonts w:ascii="Times New Roman" w:hAnsi="Times New Roman" w:cs="Times New Roman"/>
          <w:sz w:val="24"/>
          <w:szCs w:val="24"/>
        </w:rPr>
        <w:t>each cleansing device</w:t>
      </w:r>
      <w:r w:rsidR="00CC796A" w:rsidRPr="0042152F">
        <w:rPr>
          <w:rFonts w:ascii="Times New Roman" w:hAnsi="Times New Roman" w:cs="Times New Roman"/>
          <w:sz w:val="24"/>
          <w:szCs w:val="24"/>
        </w:rPr>
        <w:t xml:space="preserve"> (and the failure to apply it)</w:t>
      </w:r>
      <w:r w:rsidR="00204543" w:rsidRPr="0042152F">
        <w:rPr>
          <w:rFonts w:ascii="Times New Roman" w:hAnsi="Times New Roman" w:cs="Times New Roman"/>
          <w:sz w:val="24"/>
          <w:szCs w:val="24"/>
        </w:rPr>
        <w:t>,</w:t>
      </w:r>
      <w:r w:rsidR="0017423A" w:rsidRPr="0042152F">
        <w:rPr>
          <w:rFonts w:ascii="Times New Roman" w:hAnsi="Times New Roman" w:cs="Times New Roman"/>
          <w:sz w:val="24"/>
          <w:szCs w:val="24"/>
        </w:rPr>
        <w:t xml:space="preserve"> </w:t>
      </w:r>
      <w:r w:rsidR="00033EAB" w:rsidRPr="0042152F">
        <w:rPr>
          <w:rFonts w:ascii="Times New Roman" w:hAnsi="Times New Roman" w:cs="Times New Roman"/>
          <w:sz w:val="24"/>
          <w:szCs w:val="24"/>
        </w:rPr>
        <w:t>we believe that the choice of</w:t>
      </w:r>
      <w:r w:rsidR="003C21E1" w:rsidRPr="0042152F">
        <w:rPr>
          <w:rFonts w:ascii="Times New Roman" w:hAnsi="Times New Roman" w:cs="Times New Roman"/>
          <w:sz w:val="24"/>
          <w:szCs w:val="24"/>
        </w:rPr>
        <w:t xml:space="preserve"> </w:t>
      </w:r>
      <w:r w:rsidR="005169D1" w:rsidRPr="0042152F">
        <w:rPr>
          <w:rFonts w:ascii="Times New Roman" w:hAnsi="Times New Roman" w:cs="Times New Roman"/>
          <w:sz w:val="24"/>
          <w:szCs w:val="24"/>
        </w:rPr>
        <w:t>cleansing device</w:t>
      </w:r>
      <w:r w:rsidR="003C21E1" w:rsidRPr="0042152F">
        <w:rPr>
          <w:rFonts w:ascii="Times New Roman" w:hAnsi="Times New Roman" w:cs="Times New Roman"/>
          <w:sz w:val="24"/>
          <w:szCs w:val="24"/>
        </w:rPr>
        <w:t xml:space="preserve"> should guide the entire fairness analysis. For instance, if a majority of disinterested shareholders vote in favor of the transaction</w:t>
      </w:r>
      <w:r w:rsidR="00832EEE" w:rsidRPr="0042152F">
        <w:rPr>
          <w:rFonts w:ascii="Times New Roman" w:hAnsi="Times New Roman" w:cs="Times New Roman"/>
          <w:sz w:val="24"/>
          <w:szCs w:val="24"/>
        </w:rPr>
        <w:t>,</w:t>
      </w:r>
      <w:r w:rsidR="003C21E1" w:rsidRPr="0042152F">
        <w:rPr>
          <w:rFonts w:ascii="Times New Roman" w:hAnsi="Times New Roman" w:cs="Times New Roman"/>
          <w:sz w:val="24"/>
          <w:szCs w:val="24"/>
        </w:rPr>
        <w:t xml:space="preserve"> without coercion and with full disclosure of the </w:t>
      </w:r>
      <w:r w:rsidR="002169B1" w:rsidRPr="0042152F">
        <w:rPr>
          <w:rFonts w:ascii="Times New Roman" w:hAnsi="Times New Roman" w:cs="Times New Roman"/>
          <w:sz w:val="24"/>
          <w:szCs w:val="24"/>
        </w:rPr>
        <w:t>transaction</w:t>
      </w:r>
      <w:r w:rsidR="00CC796A" w:rsidRPr="0042152F">
        <w:rPr>
          <w:rFonts w:ascii="Times New Roman" w:hAnsi="Times New Roman" w:cs="Times New Roman"/>
          <w:sz w:val="24"/>
          <w:szCs w:val="24"/>
        </w:rPr>
        <w:t>’s</w:t>
      </w:r>
      <w:r w:rsidR="002169B1" w:rsidRPr="0042152F">
        <w:rPr>
          <w:rFonts w:ascii="Times New Roman" w:hAnsi="Times New Roman" w:cs="Times New Roman"/>
          <w:sz w:val="24"/>
          <w:szCs w:val="24"/>
        </w:rPr>
        <w:t xml:space="preserve"> </w:t>
      </w:r>
      <w:r w:rsidR="003C21E1" w:rsidRPr="0042152F">
        <w:rPr>
          <w:rFonts w:ascii="Times New Roman" w:hAnsi="Times New Roman" w:cs="Times New Roman"/>
          <w:sz w:val="24"/>
          <w:szCs w:val="24"/>
        </w:rPr>
        <w:t xml:space="preserve">economic terms, </w:t>
      </w:r>
      <w:r w:rsidR="00832EEE" w:rsidRPr="0042152F">
        <w:rPr>
          <w:rFonts w:ascii="Times New Roman" w:hAnsi="Times New Roman" w:cs="Times New Roman"/>
          <w:sz w:val="24"/>
          <w:szCs w:val="24"/>
        </w:rPr>
        <w:t>this approval</w:t>
      </w:r>
      <w:r w:rsidR="003C21E1" w:rsidRPr="0042152F">
        <w:rPr>
          <w:rFonts w:ascii="Times New Roman" w:hAnsi="Times New Roman" w:cs="Times New Roman"/>
          <w:sz w:val="24"/>
          <w:szCs w:val="24"/>
        </w:rPr>
        <w:t xml:space="preserve"> strongly indicates that disinterested parties have accepted the controller’s vision and </w:t>
      </w:r>
      <w:r w:rsidR="00204543" w:rsidRPr="0042152F">
        <w:rPr>
          <w:rFonts w:ascii="Times New Roman" w:hAnsi="Times New Roman" w:cs="Times New Roman"/>
          <w:sz w:val="24"/>
          <w:szCs w:val="24"/>
        </w:rPr>
        <w:t xml:space="preserve">its </w:t>
      </w:r>
      <w:r w:rsidR="003C21E1" w:rsidRPr="0042152F">
        <w:rPr>
          <w:rFonts w:ascii="Times New Roman" w:hAnsi="Times New Roman" w:cs="Times New Roman"/>
          <w:sz w:val="24"/>
          <w:szCs w:val="24"/>
        </w:rPr>
        <w:t>price.</w:t>
      </w:r>
      <w:r w:rsidR="003C21E1" w:rsidRPr="0042152F">
        <w:rPr>
          <w:rStyle w:val="FootnoteReference"/>
          <w:rFonts w:ascii="Times New Roman" w:hAnsi="Times New Roman" w:cs="Times New Roman"/>
          <w:sz w:val="24"/>
          <w:szCs w:val="24"/>
        </w:rPr>
        <w:footnoteReference w:id="55"/>
      </w:r>
      <w:r w:rsidR="003C21E1" w:rsidRPr="0042152F">
        <w:rPr>
          <w:rFonts w:ascii="Times New Roman" w:hAnsi="Times New Roman" w:cs="Times New Roman"/>
          <w:sz w:val="24"/>
          <w:szCs w:val="24"/>
        </w:rPr>
        <w:t xml:space="preserve"> Therefore, little evidentiary weight should be given to plaintiffs’ evidence of market practices, competitive benchmarks, or other parameters comparing the price paid </w:t>
      </w:r>
      <w:r w:rsidR="003416D1" w:rsidRPr="0042152F">
        <w:rPr>
          <w:rFonts w:ascii="Times New Roman" w:hAnsi="Times New Roman" w:cs="Times New Roman"/>
          <w:sz w:val="24"/>
          <w:szCs w:val="24"/>
        </w:rPr>
        <w:t xml:space="preserve">by the company </w:t>
      </w:r>
      <w:r w:rsidR="003C21E1" w:rsidRPr="0042152F">
        <w:rPr>
          <w:rFonts w:ascii="Times New Roman" w:hAnsi="Times New Roman" w:cs="Times New Roman"/>
          <w:sz w:val="24"/>
          <w:szCs w:val="24"/>
        </w:rPr>
        <w:t>to the asset or individual’s average value.</w:t>
      </w:r>
      <w:r w:rsidR="00947A2C" w:rsidRPr="0042152F">
        <w:rPr>
          <w:rFonts w:ascii="Times New Roman" w:hAnsi="Times New Roman" w:cs="Times New Roman"/>
          <w:sz w:val="24"/>
          <w:szCs w:val="24"/>
        </w:rPr>
        <w:t xml:space="preserve"> </w:t>
      </w:r>
    </w:p>
    <w:p w14:paraId="52995A5A" w14:textId="2C4DF449" w:rsidR="003C21E1" w:rsidRPr="0042152F" w:rsidRDefault="003C4B59"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other hand</w:t>
      </w:r>
      <w:r w:rsidR="003C21E1" w:rsidRPr="0042152F">
        <w:rPr>
          <w:rFonts w:ascii="Times New Roman" w:hAnsi="Times New Roman" w:cs="Times New Roman"/>
          <w:sz w:val="24"/>
          <w:szCs w:val="24"/>
        </w:rPr>
        <w:t>, if a special committee negotiates a transaction that is not approved by disinterested shareholders, the court’s inquiry should differ. Delaware caselaw generally doubts a special committee’s ability to negotiate effectively against a controller, given the controller's influence over the company and board.</w:t>
      </w:r>
      <w:r w:rsidR="003C21E1" w:rsidRPr="0042152F">
        <w:rPr>
          <w:rStyle w:val="FootnoteReference"/>
          <w:rFonts w:ascii="Times New Roman" w:hAnsi="Times New Roman" w:cs="Times New Roman"/>
          <w:sz w:val="24"/>
          <w:szCs w:val="24"/>
        </w:rPr>
        <w:footnoteReference w:id="56"/>
      </w:r>
      <w:r w:rsidR="003C21E1" w:rsidRPr="0042152F">
        <w:rPr>
          <w:rFonts w:ascii="Times New Roman" w:hAnsi="Times New Roman" w:cs="Times New Roman"/>
          <w:sz w:val="24"/>
          <w:szCs w:val="24"/>
        </w:rPr>
        <w:t xml:space="preserve"> </w:t>
      </w:r>
      <w:r w:rsidR="00F13680" w:rsidRPr="0042152F">
        <w:rPr>
          <w:rFonts w:ascii="Times New Roman" w:hAnsi="Times New Roman" w:cs="Times New Roman"/>
          <w:sz w:val="24"/>
          <w:szCs w:val="24"/>
        </w:rPr>
        <w:t xml:space="preserve">Because </w:t>
      </w:r>
      <w:r w:rsidR="00B97218">
        <w:rPr>
          <w:rFonts w:ascii="Times New Roman" w:hAnsi="Times New Roman" w:cs="Times New Roman"/>
          <w:sz w:val="24"/>
          <w:szCs w:val="24"/>
        </w:rPr>
        <w:t>of the</w:t>
      </w:r>
      <w:r w:rsidR="00F13680" w:rsidRPr="0042152F">
        <w:rPr>
          <w:rFonts w:ascii="Times New Roman" w:hAnsi="Times New Roman" w:cs="Times New Roman"/>
          <w:sz w:val="24"/>
          <w:szCs w:val="24"/>
        </w:rPr>
        <w:t xml:space="preserve"> controller</w:t>
      </w:r>
      <w:r w:rsidR="00B97218">
        <w:rPr>
          <w:rFonts w:ascii="Times New Roman" w:hAnsi="Times New Roman" w:cs="Times New Roman"/>
          <w:sz w:val="24"/>
          <w:szCs w:val="24"/>
        </w:rPr>
        <w:t>’s outsized influence</w:t>
      </w:r>
      <w:r w:rsidR="00F13680" w:rsidRPr="0042152F">
        <w:rPr>
          <w:rFonts w:ascii="Times New Roman" w:hAnsi="Times New Roman" w:cs="Times New Roman"/>
          <w:sz w:val="24"/>
          <w:szCs w:val="24"/>
        </w:rPr>
        <w:t xml:space="preserve">, lingering doubts remain about </w:t>
      </w:r>
      <w:r w:rsidR="00DA29E3" w:rsidRPr="0042152F">
        <w:rPr>
          <w:rFonts w:ascii="Times New Roman" w:hAnsi="Times New Roman" w:cs="Times New Roman"/>
          <w:sz w:val="24"/>
          <w:szCs w:val="24"/>
        </w:rPr>
        <w:t>whether the outcome represents a genuine</w:t>
      </w:r>
      <w:r w:rsidR="00F13680" w:rsidRPr="0042152F">
        <w:rPr>
          <w:rFonts w:ascii="Times New Roman" w:hAnsi="Times New Roman" w:cs="Times New Roman"/>
          <w:sz w:val="24"/>
          <w:szCs w:val="24"/>
        </w:rPr>
        <w:t xml:space="preserve"> endorsement of the controller’s vision. Without a vote of the</w:t>
      </w:r>
      <w:r w:rsidR="007B5BD7" w:rsidRPr="0042152F">
        <w:rPr>
          <w:rFonts w:ascii="Times New Roman" w:hAnsi="Times New Roman" w:cs="Times New Roman"/>
          <w:sz w:val="24"/>
          <w:szCs w:val="24"/>
        </w:rPr>
        <w:t xml:space="preserve"> disinterested</w:t>
      </w:r>
      <w:r w:rsidR="00F13680" w:rsidRPr="0042152F">
        <w:rPr>
          <w:rFonts w:ascii="Times New Roman" w:hAnsi="Times New Roman" w:cs="Times New Roman"/>
          <w:sz w:val="24"/>
          <w:szCs w:val="24"/>
        </w:rPr>
        <w:t xml:space="preserve"> shareholders, therefore</w:t>
      </w:r>
      <w:r w:rsidR="003C21E1" w:rsidRPr="0042152F">
        <w:rPr>
          <w:rFonts w:ascii="Times New Roman" w:hAnsi="Times New Roman" w:cs="Times New Roman"/>
          <w:sz w:val="24"/>
          <w:szCs w:val="24"/>
        </w:rPr>
        <w:t xml:space="preserve">, courts should </w:t>
      </w:r>
      <w:r w:rsidR="007B5BD7" w:rsidRPr="0042152F">
        <w:rPr>
          <w:rFonts w:ascii="Times New Roman" w:hAnsi="Times New Roman" w:cs="Times New Roman"/>
          <w:sz w:val="24"/>
          <w:szCs w:val="24"/>
        </w:rPr>
        <w:t>consider</w:t>
      </w:r>
      <w:r w:rsidR="00B26C61" w:rsidRPr="0042152F">
        <w:rPr>
          <w:rFonts w:ascii="Times New Roman" w:hAnsi="Times New Roman" w:cs="Times New Roman"/>
          <w:sz w:val="24"/>
          <w:szCs w:val="24"/>
        </w:rPr>
        <w:t xml:space="preserve"> </w:t>
      </w:r>
      <w:r w:rsidR="003C21E1" w:rsidRPr="0042152F">
        <w:rPr>
          <w:rFonts w:ascii="Times New Roman" w:hAnsi="Times New Roman" w:cs="Times New Roman"/>
          <w:sz w:val="24"/>
          <w:szCs w:val="24"/>
        </w:rPr>
        <w:t>plaintiffs</w:t>
      </w:r>
      <w:r w:rsidR="00B26C61" w:rsidRPr="0042152F">
        <w:rPr>
          <w:rFonts w:ascii="Times New Roman" w:hAnsi="Times New Roman" w:cs="Times New Roman"/>
          <w:sz w:val="24"/>
          <w:szCs w:val="24"/>
        </w:rPr>
        <w:t>’</w:t>
      </w:r>
      <w:r w:rsidR="003C21E1" w:rsidRPr="0042152F">
        <w:rPr>
          <w:rFonts w:ascii="Times New Roman" w:hAnsi="Times New Roman" w:cs="Times New Roman"/>
          <w:sz w:val="24"/>
          <w:szCs w:val="24"/>
        </w:rPr>
        <w:t xml:space="preserve"> evidence of </w:t>
      </w:r>
      <w:r w:rsidR="00B26C61" w:rsidRPr="0042152F">
        <w:rPr>
          <w:rFonts w:ascii="Times New Roman" w:hAnsi="Times New Roman" w:cs="Times New Roman"/>
          <w:sz w:val="24"/>
          <w:szCs w:val="24"/>
        </w:rPr>
        <w:t xml:space="preserve">average </w:t>
      </w:r>
      <w:r w:rsidR="003C21E1" w:rsidRPr="0042152F">
        <w:rPr>
          <w:rFonts w:ascii="Times New Roman" w:hAnsi="Times New Roman" w:cs="Times New Roman"/>
          <w:sz w:val="24"/>
          <w:szCs w:val="24"/>
        </w:rPr>
        <w:t>price</w:t>
      </w:r>
      <w:r w:rsidR="00B26C61" w:rsidRPr="0042152F">
        <w:rPr>
          <w:rFonts w:ascii="Times New Roman" w:hAnsi="Times New Roman" w:cs="Times New Roman"/>
          <w:sz w:val="24"/>
          <w:szCs w:val="24"/>
        </w:rPr>
        <w:t>s</w:t>
      </w:r>
      <w:r w:rsidR="003C21E1" w:rsidRPr="0042152F">
        <w:rPr>
          <w:rFonts w:ascii="Times New Roman" w:hAnsi="Times New Roman" w:cs="Times New Roman"/>
          <w:sz w:val="24"/>
          <w:szCs w:val="24"/>
        </w:rPr>
        <w:t xml:space="preserve"> and process deficiencies</w:t>
      </w:r>
      <w:r w:rsidR="00F13680" w:rsidRPr="0042152F">
        <w:rPr>
          <w:rFonts w:ascii="Times New Roman" w:hAnsi="Times New Roman" w:cs="Times New Roman"/>
          <w:sz w:val="24"/>
          <w:szCs w:val="24"/>
        </w:rPr>
        <w:t xml:space="preserve"> in the review process</w:t>
      </w:r>
      <w:r w:rsidR="003C21E1" w:rsidRPr="0042152F">
        <w:rPr>
          <w:rFonts w:ascii="Times New Roman" w:hAnsi="Times New Roman" w:cs="Times New Roman"/>
          <w:sz w:val="24"/>
          <w:szCs w:val="24"/>
        </w:rPr>
        <w:t>, as they do now.</w:t>
      </w:r>
      <w:r w:rsidR="0075166F" w:rsidRPr="0042152F">
        <w:rPr>
          <w:rFonts w:ascii="Times New Roman" w:hAnsi="Times New Roman" w:cs="Times New Roman"/>
          <w:sz w:val="24"/>
          <w:szCs w:val="24"/>
        </w:rPr>
        <w:t xml:space="preserve"> </w:t>
      </w:r>
    </w:p>
    <w:p w14:paraId="3C940A2A" w14:textId="15357C64" w:rsidR="00AC5551" w:rsidRPr="0042152F" w:rsidRDefault="00AC555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Consider how </w:t>
      </w:r>
      <w:r w:rsidR="00BA0407" w:rsidRPr="0042152F">
        <w:rPr>
          <w:rFonts w:ascii="Times New Roman" w:hAnsi="Times New Roman" w:cs="Times New Roman"/>
          <w:sz w:val="24"/>
          <w:szCs w:val="24"/>
        </w:rPr>
        <w:t>judicial review of</w:t>
      </w:r>
      <w:r w:rsidR="007B5BD7" w:rsidRPr="0042152F">
        <w:rPr>
          <w:rFonts w:ascii="Times New Roman" w:hAnsi="Times New Roman" w:cs="Times New Roman"/>
          <w:sz w:val="24"/>
          <w:szCs w:val="24"/>
        </w:rPr>
        <w:t xml:space="preserve"> </w:t>
      </w:r>
      <w:r w:rsidRPr="0042152F">
        <w:rPr>
          <w:rFonts w:ascii="Times New Roman" w:hAnsi="Times New Roman" w:cs="Times New Roman"/>
          <w:sz w:val="24"/>
          <w:szCs w:val="24"/>
        </w:rPr>
        <w:t>Musk’s compensation would fare under our modified framework. The compensation package was</w:t>
      </w:r>
      <w:r w:rsidR="00CE304D">
        <w:rPr>
          <w:rFonts w:ascii="Times New Roman" w:hAnsi="Times New Roman" w:cs="Times New Roman"/>
          <w:sz w:val="24"/>
          <w:szCs w:val="24"/>
        </w:rPr>
        <w:t xml:space="preserve"> negotiated by conflicted directors, but it was</w:t>
      </w:r>
      <w:r w:rsidRPr="0042152F">
        <w:rPr>
          <w:rFonts w:ascii="Times New Roman" w:hAnsi="Times New Roman" w:cs="Times New Roman"/>
          <w:sz w:val="24"/>
          <w:szCs w:val="24"/>
        </w:rPr>
        <w:t xml:space="preserve"> </w:t>
      </w:r>
      <w:r w:rsidR="00CE304D">
        <w:rPr>
          <w:rFonts w:ascii="Times New Roman" w:hAnsi="Times New Roman" w:cs="Times New Roman"/>
          <w:sz w:val="24"/>
          <w:szCs w:val="24"/>
        </w:rPr>
        <w:t xml:space="preserve">also </w:t>
      </w:r>
      <w:r w:rsidRPr="0042152F">
        <w:rPr>
          <w:rFonts w:ascii="Times New Roman" w:hAnsi="Times New Roman" w:cs="Times New Roman"/>
          <w:sz w:val="24"/>
          <w:szCs w:val="24"/>
        </w:rPr>
        <w:t>approved by disinterested shareholders</w:t>
      </w:r>
      <w:r w:rsidR="00BA0407" w:rsidRPr="0042152F">
        <w:rPr>
          <w:rFonts w:ascii="Times New Roman" w:hAnsi="Times New Roman" w:cs="Times New Roman"/>
          <w:sz w:val="24"/>
          <w:szCs w:val="24"/>
        </w:rPr>
        <w:t xml:space="preserve"> who were</w:t>
      </w:r>
      <w:r w:rsidRPr="0042152F">
        <w:rPr>
          <w:rFonts w:ascii="Times New Roman" w:hAnsi="Times New Roman" w:cs="Times New Roman"/>
          <w:sz w:val="24"/>
          <w:szCs w:val="24"/>
        </w:rPr>
        <w:t xml:space="preserve"> aware of </w:t>
      </w:r>
      <w:r w:rsidR="00BA0407" w:rsidRPr="0042152F">
        <w:rPr>
          <w:rFonts w:ascii="Times New Roman" w:hAnsi="Times New Roman" w:cs="Times New Roman"/>
          <w:sz w:val="24"/>
          <w:szCs w:val="24"/>
        </w:rPr>
        <w:t>Musk’s</w:t>
      </w:r>
      <w:r w:rsidRPr="0042152F">
        <w:rPr>
          <w:rFonts w:ascii="Times New Roman" w:hAnsi="Times New Roman" w:cs="Times New Roman"/>
          <w:sz w:val="24"/>
          <w:szCs w:val="24"/>
        </w:rPr>
        <w:t xml:space="preserve"> conflict and the financial terms of the transaction</w:t>
      </w:r>
      <w:r w:rsidR="009A43A8">
        <w:rPr>
          <w:rFonts w:ascii="Times New Roman" w:hAnsi="Times New Roman" w:cs="Times New Roman"/>
          <w:sz w:val="24"/>
          <w:szCs w:val="24"/>
        </w:rPr>
        <w:t>.</w:t>
      </w:r>
      <w:r w:rsidR="00914E4B" w:rsidRPr="0042152F">
        <w:rPr>
          <w:rStyle w:val="FootnoteReference"/>
          <w:rFonts w:ascii="Times New Roman" w:hAnsi="Times New Roman" w:cs="Times New Roman"/>
          <w:sz w:val="24"/>
          <w:szCs w:val="24"/>
        </w:rPr>
        <w:footnoteReference w:id="57"/>
      </w:r>
      <w:r w:rsidRPr="0042152F">
        <w:rPr>
          <w:rFonts w:ascii="Times New Roman" w:hAnsi="Times New Roman" w:cs="Times New Roman"/>
          <w:sz w:val="24"/>
          <w:szCs w:val="24"/>
        </w:rPr>
        <w:t xml:space="preserve"> </w:t>
      </w:r>
      <w:r w:rsidR="00CE304D">
        <w:rPr>
          <w:rFonts w:ascii="Times New Roman" w:hAnsi="Times New Roman" w:cs="Times New Roman"/>
          <w:sz w:val="24"/>
          <w:szCs w:val="24"/>
        </w:rPr>
        <w:t xml:space="preserve">Under our framework, </w:t>
      </w:r>
      <w:r w:rsidR="00D448EF">
        <w:rPr>
          <w:rFonts w:ascii="Times New Roman" w:hAnsi="Times New Roman" w:cs="Times New Roman"/>
          <w:sz w:val="24"/>
          <w:szCs w:val="24"/>
        </w:rPr>
        <w:t>the failure to disclose the special committee’s conflicts</w:t>
      </w:r>
      <w:r w:rsidR="00F86107">
        <w:rPr>
          <w:rFonts w:ascii="Times New Roman" w:hAnsi="Times New Roman" w:cs="Times New Roman"/>
          <w:sz w:val="24"/>
          <w:szCs w:val="24"/>
        </w:rPr>
        <w:t xml:space="preserve"> </w:t>
      </w:r>
      <w:r w:rsidR="00C95511">
        <w:rPr>
          <w:rFonts w:ascii="Times New Roman" w:hAnsi="Times New Roman" w:cs="Times New Roman"/>
          <w:sz w:val="24"/>
          <w:szCs w:val="24"/>
        </w:rPr>
        <w:t>would not invalidate</w:t>
      </w:r>
      <w:r w:rsidR="008D0CD4">
        <w:rPr>
          <w:rFonts w:ascii="Times New Roman" w:hAnsi="Times New Roman" w:cs="Times New Roman"/>
          <w:sz w:val="24"/>
          <w:szCs w:val="24"/>
        </w:rPr>
        <w:t xml:space="preserve"> the</w:t>
      </w:r>
      <w:r w:rsidR="00C95511">
        <w:rPr>
          <w:rFonts w:ascii="Times New Roman" w:hAnsi="Times New Roman" w:cs="Times New Roman"/>
          <w:sz w:val="24"/>
          <w:szCs w:val="24"/>
        </w:rPr>
        <w:t xml:space="preserve"> shareholder</w:t>
      </w:r>
      <w:r w:rsidRPr="0042152F">
        <w:rPr>
          <w:rFonts w:ascii="Times New Roman" w:hAnsi="Times New Roman" w:cs="Times New Roman"/>
          <w:sz w:val="24"/>
          <w:szCs w:val="24"/>
        </w:rPr>
        <w:t xml:space="preserve"> </w:t>
      </w:r>
      <w:r w:rsidR="008D0CD4">
        <w:rPr>
          <w:rFonts w:ascii="Times New Roman" w:hAnsi="Times New Roman" w:cs="Times New Roman"/>
          <w:sz w:val="24"/>
          <w:szCs w:val="24"/>
        </w:rPr>
        <w:t>vote</w:t>
      </w:r>
      <w:r w:rsidR="00CE304D">
        <w:rPr>
          <w:rFonts w:ascii="Times New Roman" w:hAnsi="Times New Roman" w:cs="Times New Roman"/>
          <w:sz w:val="24"/>
          <w:szCs w:val="24"/>
        </w:rPr>
        <w:t xml:space="preserve">; instead, the shareholder </w:t>
      </w:r>
      <w:r w:rsidR="00D448EF">
        <w:rPr>
          <w:rFonts w:ascii="Times New Roman" w:hAnsi="Times New Roman" w:cs="Times New Roman"/>
          <w:sz w:val="24"/>
          <w:szCs w:val="24"/>
        </w:rPr>
        <w:t>approval</w:t>
      </w:r>
      <w:r w:rsidR="00CE304D">
        <w:rPr>
          <w:rFonts w:ascii="Times New Roman" w:hAnsi="Times New Roman" w:cs="Times New Roman"/>
          <w:sz w:val="24"/>
          <w:szCs w:val="24"/>
        </w:rPr>
        <w:t xml:space="preserve"> </w:t>
      </w:r>
      <w:r w:rsidR="00CC796A" w:rsidRPr="0042152F">
        <w:rPr>
          <w:rFonts w:ascii="Times New Roman" w:hAnsi="Times New Roman" w:cs="Times New Roman"/>
          <w:sz w:val="24"/>
          <w:szCs w:val="24"/>
        </w:rPr>
        <w:t xml:space="preserve">would </w:t>
      </w:r>
      <w:r w:rsidRPr="0042152F">
        <w:rPr>
          <w:rFonts w:ascii="Times New Roman" w:hAnsi="Times New Roman" w:cs="Times New Roman"/>
          <w:sz w:val="24"/>
          <w:szCs w:val="24"/>
        </w:rPr>
        <w:t xml:space="preserve">entitle defendants to a burden shift, obligating </w:t>
      </w:r>
      <w:r w:rsidR="00BA0407" w:rsidRPr="0042152F">
        <w:rPr>
          <w:rFonts w:ascii="Times New Roman" w:hAnsi="Times New Roman" w:cs="Times New Roman"/>
          <w:sz w:val="24"/>
          <w:szCs w:val="24"/>
        </w:rPr>
        <w:t xml:space="preserve">the </w:t>
      </w:r>
      <w:r w:rsidRPr="0042152F">
        <w:rPr>
          <w:rFonts w:ascii="Times New Roman" w:hAnsi="Times New Roman" w:cs="Times New Roman"/>
          <w:sz w:val="24"/>
          <w:szCs w:val="24"/>
        </w:rPr>
        <w:t xml:space="preserve">plaintiffs to establish the transaction’s unfairness. </w:t>
      </w:r>
      <w:r w:rsidR="00CE304D">
        <w:rPr>
          <w:rFonts w:ascii="Times New Roman" w:hAnsi="Times New Roman" w:cs="Times New Roman"/>
          <w:sz w:val="24"/>
          <w:szCs w:val="24"/>
        </w:rPr>
        <w:t>Moreover, in light of</w:t>
      </w:r>
      <w:r w:rsidR="007B5BD7" w:rsidRPr="0042152F">
        <w:rPr>
          <w:rFonts w:ascii="Times New Roman" w:hAnsi="Times New Roman" w:cs="Times New Roman"/>
          <w:sz w:val="24"/>
          <w:szCs w:val="24"/>
        </w:rPr>
        <w:t xml:space="preserve"> </w:t>
      </w:r>
      <w:r w:rsidR="00CE304D">
        <w:rPr>
          <w:rFonts w:ascii="Times New Roman" w:hAnsi="Times New Roman" w:cs="Times New Roman"/>
          <w:sz w:val="24"/>
          <w:szCs w:val="24"/>
        </w:rPr>
        <w:t>the</w:t>
      </w:r>
      <w:r w:rsidR="007B5BD7" w:rsidRPr="0042152F">
        <w:rPr>
          <w:rFonts w:ascii="Times New Roman" w:hAnsi="Times New Roman" w:cs="Times New Roman"/>
          <w:sz w:val="24"/>
          <w:szCs w:val="24"/>
        </w:rPr>
        <w:t xml:space="preserve"> disinterested shareholder approval</w:t>
      </w:r>
      <w:r w:rsidR="000529F4" w:rsidRPr="0042152F">
        <w:rPr>
          <w:rFonts w:ascii="Times New Roman" w:hAnsi="Times New Roman" w:cs="Times New Roman"/>
          <w:sz w:val="24"/>
          <w:szCs w:val="24"/>
        </w:rPr>
        <w:t xml:space="preserve"> of Musk’s vision</w:t>
      </w:r>
      <w:r w:rsidRPr="0042152F">
        <w:rPr>
          <w:rFonts w:ascii="Times New Roman" w:hAnsi="Times New Roman" w:cs="Times New Roman"/>
          <w:sz w:val="24"/>
          <w:szCs w:val="24"/>
        </w:rPr>
        <w:t>,</w:t>
      </w:r>
      <w:r w:rsidR="007B5BD7" w:rsidRPr="0042152F">
        <w:rPr>
          <w:rFonts w:ascii="Times New Roman" w:hAnsi="Times New Roman" w:cs="Times New Roman"/>
          <w:sz w:val="24"/>
          <w:szCs w:val="24"/>
        </w:rPr>
        <w:t xml:space="preserve"> the court would give little evidentiary weight to</w:t>
      </w:r>
      <w:r w:rsidRPr="0042152F">
        <w:rPr>
          <w:rFonts w:ascii="Times New Roman" w:hAnsi="Times New Roman" w:cs="Times New Roman"/>
          <w:sz w:val="24"/>
          <w:szCs w:val="24"/>
        </w:rPr>
        <w:t xml:space="preserve"> </w:t>
      </w:r>
      <w:r w:rsidR="000529F4" w:rsidRPr="0042152F">
        <w:rPr>
          <w:rFonts w:ascii="Times New Roman" w:hAnsi="Times New Roman" w:cs="Times New Roman"/>
          <w:sz w:val="24"/>
          <w:szCs w:val="24"/>
        </w:rPr>
        <w:t xml:space="preserve">information about </w:t>
      </w:r>
      <w:r w:rsidRPr="0042152F">
        <w:rPr>
          <w:rFonts w:ascii="Times New Roman" w:hAnsi="Times New Roman" w:cs="Times New Roman"/>
          <w:sz w:val="24"/>
          <w:szCs w:val="24"/>
        </w:rPr>
        <w:t xml:space="preserve">average CEO </w:t>
      </w:r>
      <w:r w:rsidR="000529F4" w:rsidRPr="0042152F">
        <w:rPr>
          <w:rFonts w:ascii="Times New Roman" w:hAnsi="Times New Roman" w:cs="Times New Roman"/>
          <w:sz w:val="24"/>
          <w:szCs w:val="24"/>
        </w:rPr>
        <w:t>compensation</w:t>
      </w:r>
      <w:r w:rsidRPr="0042152F">
        <w:rPr>
          <w:rFonts w:ascii="Times New Roman" w:hAnsi="Times New Roman" w:cs="Times New Roman"/>
          <w:sz w:val="24"/>
          <w:szCs w:val="24"/>
        </w:rPr>
        <w:t>.</w:t>
      </w:r>
      <w:r w:rsidR="007B5BD7" w:rsidRPr="0042152F">
        <w:rPr>
          <w:rFonts w:ascii="Times New Roman" w:hAnsi="Times New Roman" w:cs="Times New Roman"/>
          <w:sz w:val="24"/>
          <w:szCs w:val="24"/>
        </w:rPr>
        <w:t xml:space="preserve"> </w:t>
      </w:r>
      <w:r w:rsidR="00221C18" w:rsidRPr="0042152F">
        <w:rPr>
          <w:rFonts w:ascii="Times New Roman" w:hAnsi="Times New Roman" w:cs="Times New Roman"/>
          <w:sz w:val="24"/>
          <w:szCs w:val="24"/>
        </w:rPr>
        <w:t>O</w:t>
      </w:r>
      <w:r w:rsidR="00405762" w:rsidRPr="0042152F">
        <w:rPr>
          <w:rFonts w:ascii="Times New Roman" w:hAnsi="Times New Roman" w:cs="Times New Roman"/>
          <w:sz w:val="24"/>
          <w:szCs w:val="24"/>
        </w:rPr>
        <w:t>ur framework would</w:t>
      </w:r>
      <w:r w:rsidR="00CC796A" w:rsidRPr="0042152F">
        <w:rPr>
          <w:rFonts w:ascii="Times New Roman" w:hAnsi="Times New Roman" w:cs="Times New Roman"/>
          <w:sz w:val="24"/>
          <w:szCs w:val="24"/>
        </w:rPr>
        <w:t xml:space="preserve"> therefore</w:t>
      </w:r>
      <w:r w:rsidR="00405762" w:rsidRPr="0042152F">
        <w:rPr>
          <w:rFonts w:ascii="Times New Roman" w:hAnsi="Times New Roman" w:cs="Times New Roman"/>
          <w:sz w:val="24"/>
          <w:szCs w:val="24"/>
        </w:rPr>
        <w:t xml:space="preserve"> have substantially eased the burden on courts </w:t>
      </w:r>
      <w:r w:rsidR="00CC796A" w:rsidRPr="0042152F">
        <w:rPr>
          <w:rFonts w:ascii="Times New Roman" w:hAnsi="Times New Roman" w:cs="Times New Roman"/>
          <w:sz w:val="24"/>
          <w:szCs w:val="24"/>
        </w:rPr>
        <w:t xml:space="preserve">asked </w:t>
      </w:r>
      <w:r w:rsidR="00405762" w:rsidRPr="0042152F">
        <w:rPr>
          <w:rFonts w:ascii="Times New Roman" w:hAnsi="Times New Roman" w:cs="Times New Roman"/>
          <w:sz w:val="24"/>
          <w:szCs w:val="24"/>
        </w:rPr>
        <w:t xml:space="preserve">to address an impossible question—did the company pay the right amount for the services of a visionary entrepreneur? </w:t>
      </w:r>
    </w:p>
    <w:p w14:paraId="552AB412" w14:textId="293C8599" w:rsidR="000529F4" w:rsidRPr="0042152F" w:rsidRDefault="00CE304D"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Beyond this advantage, our modified</w:t>
      </w:r>
      <w:r w:rsidRPr="0042152F">
        <w:rPr>
          <w:rFonts w:ascii="Times New Roman" w:hAnsi="Times New Roman" w:cs="Times New Roman"/>
          <w:sz w:val="24"/>
          <w:szCs w:val="24"/>
        </w:rPr>
        <w:t xml:space="preserve"> </w:t>
      </w:r>
      <w:r w:rsidR="00405762" w:rsidRPr="0042152F">
        <w:rPr>
          <w:rFonts w:ascii="Times New Roman" w:hAnsi="Times New Roman" w:cs="Times New Roman"/>
          <w:sz w:val="24"/>
          <w:szCs w:val="24"/>
        </w:rPr>
        <w:t>framework</w:t>
      </w:r>
      <w:r w:rsidR="000529F4" w:rsidRPr="0042152F">
        <w:rPr>
          <w:rFonts w:ascii="Times New Roman" w:hAnsi="Times New Roman" w:cs="Times New Roman"/>
          <w:sz w:val="24"/>
          <w:szCs w:val="24"/>
        </w:rPr>
        <w:t xml:space="preserve"> is grounded in fundamental precepts of Delaware corporate law.</w:t>
      </w:r>
      <w:r w:rsidR="00750C1E">
        <w:rPr>
          <w:rFonts w:ascii="Times New Roman" w:hAnsi="Times New Roman" w:cs="Times New Roman"/>
          <w:sz w:val="24"/>
          <w:szCs w:val="24"/>
        </w:rPr>
        <w:t xml:space="preserve"> </w:t>
      </w:r>
      <w:r w:rsidR="002F02B2">
        <w:rPr>
          <w:rFonts w:ascii="Times New Roman" w:hAnsi="Times New Roman" w:cs="Times New Roman"/>
          <w:sz w:val="24"/>
          <w:szCs w:val="24"/>
        </w:rPr>
        <w:t>I</w:t>
      </w:r>
      <w:r w:rsidR="00E376FE">
        <w:rPr>
          <w:rFonts w:ascii="Times New Roman" w:hAnsi="Times New Roman" w:cs="Times New Roman"/>
          <w:sz w:val="24"/>
          <w:szCs w:val="24"/>
        </w:rPr>
        <w:t>t</w:t>
      </w:r>
      <w:r w:rsidR="000529F4" w:rsidRPr="0042152F">
        <w:rPr>
          <w:rFonts w:ascii="Times New Roman" w:hAnsi="Times New Roman" w:cs="Times New Roman"/>
          <w:sz w:val="24"/>
          <w:szCs w:val="24"/>
        </w:rPr>
        <w:t xml:space="preserve"> respects the </w:t>
      </w:r>
      <w:r w:rsidR="00405762" w:rsidRPr="0042152F">
        <w:rPr>
          <w:rFonts w:ascii="Times New Roman" w:hAnsi="Times New Roman" w:cs="Times New Roman"/>
          <w:sz w:val="24"/>
          <w:szCs w:val="24"/>
        </w:rPr>
        <w:t xml:space="preserve">core </w:t>
      </w:r>
      <w:r w:rsidR="00A34F49" w:rsidRPr="0042152F">
        <w:rPr>
          <w:rFonts w:ascii="Times New Roman" w:hAnsi="Times New Roman" w:cs="Times New Roman"/>
          <w:sz w:val="24"/>
          <w:szCs w:val="24"/>
        </w:rPr>
        <w:t>goal of</w:t>
      </w:r>
      <w:r w:rsidR="000529F4" w:rsidRPr="0042152F">
        <w:rPr>
          <w:rFonts w:ascii="Times New Roman" w:hAnsi="Times New Roman" w:cs="Times New Roman"/>
          <w:sz w:val="24"/>
          <w:szCs w:val="24"/>
        </w:rPr>
        <w:t xml:space="preserve"> protect</w:t>
      </w:r>
      <w:r w:rsidR="00A34F49" w:rsidRPr="0042152F">
        <w:rPr>
          <w:rFonts w:ascii="Times New Roman" w:hAnsi="Times New Roman" w:cs="Times New Roman"/>
          <w:sz w:val="24"/>
          <w:szCs w:val="24"/>
        </w:rPr>
        <w:t>ing</w:t>
      </w:r>
      <w:r w:rsidR="000529F4" w:rsidRPr="0042152F">
        <w:rPr>
          <w:rFonts w:ascii="Times New Roman" w:hAnsi="Times New Roman" w:cs="Times New Roman"/>
          <w:sz w:val="24"/>
          <w:szCs w:val="24"/>
        </w:rPr>
        <w:t xml:space="preserve"> minority investors from overreaching by controlling shareholders</w:t>
      </w:r>
      <w:r w:rsidR="00405762" w:rsidRPr="0042152F">
        <w:rPr>
          <w:rFonts w:ascii="Times New Roman" w:hAnsi="Times New Roman" w:cs="Times New Roman"/>
          <w:sz w:val="24"/>
          <w:szCs w:val="24"/>
        </w:rPr>
        <w:t xml:space="preserve"> by </w:t>
      </w:r>
      <w:r w:rsidR="000529F4" w:rsidRPr="0042152F">
        <w:rPr>
          <w:rFonts w:ascii="Times New Roman" w:hAnsi="Times New Roman" w:cs="Times New Roman"/>
          <w:sz w:val="24"/>
          <w:szCs w:val="24"/>
        </w:rPr>
        <w:t xml:space="preserve">preserving a </w:t>
      </w:r>
      <w:r w:rsidR="00405762" w:rsidRPr="0042152F">
        <w:rPr>
          <w:rFonts w:ascii="Times New Roman" w:hAnsi="Times New Roman" w:cs="Times New Roman"/>
          <w:sz w:val="24"/>
          <w:szCs w:val="24"/>
        </w:rPr>
        <w:t xml:space="preserve">way for shareholders to secure </w:t>
      </w:r>
      <w:r w:rsidR="000529F4" w:rsidRPr="0042152F">
        <w:rPr>
          <w:rFonts w:ascii="Times New Roman" w:hAnsi="Times New Roman" w:cs="Times New Roman"/>
          <w:sz w:val="24"/>
          <w:szCs w:val="24"/>
        </w:rPr>
        <w:t xml:space="preserve">stringent review of a transaction’s fairness where </w:t>
      </w:r>
      <w:r w:rsidR="00405762" w:rsidRPr="0042152F">
        <w:rPr>
          <w:rFonts w:ascii="Times New Roman" w:hAnsi="Times New Roman" w:cs="Times New Roman"/>
          <w:sz w:val="24"/>
          <w:szCs w:val="24"/>
        </w:rPr>
        <w:t>such review</w:t>
      </w:r>
      <w:r w:rsidR="000529F4" w:rsidRPr="0042152F">
        <w:rPr>
          <w:rFonts w:ascii="Times New Roman" w:hAnsi="Times New Roman" w:cs="Times New Roman"/>
          <w:sz w:val="24"/>
          <w:szCs w:val="24"/>
        </w:rPr>
        <w:t xml:space="preserve"> is most needed. But it also responds to the limits of judicial competence</w:t>
      </w:r>
      <w:r w:rsidR="00A34F49" w:rsidRPr="0042152F">
        <w:rPr>
          <w:rFonts w:ascii="Times New Roman" w:hAnsi="Times New Roman" w:cs="Times New Roman"/>
          <w:sz w:val="24"/>
          <w:szCs w:val="24"/>
        </w:rPr>
        <w:t xml:space="preserve"> in valuation</w:t>
      </w:r>
      <w:r w:rsidR="000529F4" w:rsidRPr="0042152F">
        <w:rPr>
          <w:rFonts w:ascii="Times New Roman" w:hAnsi="Times New Roman" w:cs="Times New Roman"/>
          <w:sz w:val="24"/>
          <w:szCs w:val="24"/>
        </w:rPr>
        <w:t xml:space="preserve"> and the comparative advantage of the shareholder voting process, which aggregates each shareholder’s subjective judgment of vision and price.</w:t>
      </w:r>
      <w:r w:rsidR="002F02B2">
        <w:rPr>
          <w:rFonts w:ascii="Times New Roman" w:hAnsi="Times New Roman" w:cs="Times New Roman" w:hint="cs"/>
          <w:sz w:val="24"/>
          <w:szCs w:val="24"/>
          <w:rtl/>
          <w:lang w:bidi="he-IL"/>
        </w:rPr>
        <w:t xml:space="preserve"> </w:t>
      </w:r>
      <w:r w:rsidR="002F02B2">
        <w:rPr>
          <w:rFonts w:ascii="Times New Roman" w:hAnsi="Times New Roman" w:cs="Times New Roman"/>
          <w:sz w:val="24"/>
          <w:szCs w:val="24"/>
        </w:rPr>
        <w:t xml:space="preserve">For </w:t>
      </w:r>
      <w:r w:rsidR="002F02B2">
        <w:rPr>
          <w:rFonts w:ascii="Times New Roman" w:hAnsi="Times New Roman" w:cs="Times New Roman"/>
          <w:sz w:val="24"/>
          <w:szCs w:val="24"/>
          <w:lang w:bidi="he-IL"/>
        </w:rPr>
        <w:t>these</w:t>
      </w:r>
      <w:r w:rsidR="002F02B2">
        <w:rPr>
          <w:rFonts w:ascii="Times New Roman" w:hAnsi="Times New Roman" w:cs="Times New Roman"/>
          <w:sz w:val="24"/>
          <w:szCs w:val="24"/>
        </w:rPr>
        <w:t xml:space="preserve"> reasons, </w:t>
      </w:r>
      <w:r w:rsidR="006457FB">
        <w:rPr>
          <w:rFonts w:ascii="Times New Roman" w:hAnsi="Times New Roman" w:cs="Times New Roman"/>
          <w:sz w:val="24"/>
          <w:szCs w:val="24"/>
        </w:rPr>
        <w:t xml:space="preserve">our framework should </w:t>
      </w:r>
      <w:r w:rsidR="002F02B2">
        <w:rPr>
          <w:rFonts w:ascii="Times New Roman" w:hAnsi="Times New Roman" w:cs="Times New Roman"/>
          <w:sz w:val="24"/>
          <w:szCs w:val="24"/>
        </w:rPr>
        <w:t>appl</w:t>
      </w:r>
      <w:r w:rsidR="006457FB">
        <w:rPr>
          <w:rFonts w:ascii="Times New Roman" w:hAnsi="Times New Roman" w:cs="Times New Roman"/>
          <w:sz w:val="24"/>
          <w:szCs w:val="24"/>
        </w:rPr>
        <w:t>y</w:t>
      </w:r>
      <w:r w:rsidR="002F02B2">
        <w:rPr>
          <w:rFonts w:ascii="Times New Roman" w:hAnsi="Times New Roman" w:cs="Times New Roman"/>
          <w:sz w:val="24"/>
          <w:szCs w:val="24"/>
        </w:rPr>
        <w:t xml:space="preserve"> to all controlling shareholder transactions, not just those involving idiosyncratic vision.</w:t>
      </w:r>
      <w:r w:rsidR="005F283B">
        <w:rPr>
          <w:rStyle w:val="FootnoteReference"/>
          <w:rFonts w:ascii="Times New Roman" w:hAnsi="Times New Roman" w:cs="Times New Roman"/>
          <w:sz w:val="24"/>
          <w:szCs w:val="24"/>
        </w:rPr>
        <w:footnoteReference w:id="58"/>
      </w:r>
      <w:r w:rsidR="000529F4" w:rsidRPr="0042152F">
        <w:rPr>
          <w:rFonts w:ascii="Times New Roman" w:hAnsi="Times New Roman" w:cs="Times New Roman"/>
          <w:sz w:val="24"/>
          <w:szCs w:val="24"/>
        </w:rPr>
        <w:t xml:space="preserve"> </w:t>
      </w:r>
    </w:p>
    <w:p w14:paraId="043A0983" w14:textId="11DE1919" w:rsidR="00AC5551" w:rsidRPr="0042152F" w:rsidRDefault="00AC555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Balancing these aspects is crucial</w:t>
      </w:r>
      <w:r w:rsidR="00BA0407" w:rsidRPr="0042152F">
        <w:rPr>
          <w:rFonts w:ascii="Times New Roman" w:hAnsi="Times New Roman" w:cs="Times New Roman"/>
          <w:sz w:val="24"/>
          <w:szCs w:val="24"/>
        </w:rPr>
        <w:t xml:space="preserve"> for Delaware, and more importantly, </w:t>
      </w:r>
      <w:r w:rsidR="00BF5F5C" w:rsidRPr="0042152F">
        <w:rPr>
          <w:rFonts w:ascii="Times New Roman" w:hAnsi="Times New Roman" w:cs="Times New Roman"/>
          <w:sz w:val="24"/>
          <w:szCs w:val="24"/>
        </w:rPr>
        <w:t>for</w:t>
      </w:r>
      <w:r w:rsidR="00BA0407" w:rsidRPr="0042152F">
        <w:rPr>
          <w:rFonts w:ascii="Times New Roman" w:hAnsi="Times New Roman" w:cs="Times New Roman"/>
          <w:sz w:val="24"/>
          <w:szCs w:val="24"/>
        </w:rPr>
        <w:t xml:space="preserve"> economic growth</w:t>
      </w:r>
      <w:r w:rsidRPr="0042152F">
        <w:rPr>
          <w:rFonts w:ascii="Times New Roman" w:hAnsi="Times New Roman" w:cs="Times New Roman"/>
          <w:sz w:val="24"/>
          <w:szCs w:val="24"/>
        </w:rPr>
        <w:t xml:space="preserve">. </w:t>
      </w:r>
      <w:r w:rsidR="00BA0407" w:rsidRPr="0042152F">
        <w:rPr>
          <w:rFonts w:ascii="Times New Roman" w:hAnsi="Times New Roman" w:cs="Times New Roman"/>
          <w:sz w:val="24"/>
          <w:szCs w:val="24"/>
        </w:rPr>
        <w:t xml:space="preserve">Ensuring that </w:t>
      </w:r>
      <w:r w:rsidR="0077111D" w:rsidRPr="0042152F">
        <w:rPr>
          <w:rFonts w:ascii="Times New Roman" w:hAnsi="Times New Roman" w:cs="Times New Roman"/>
          <w:sz w:val="24"/>
          <w:szCs w:val="24"/>
        </w:rPr>
        <w:t>controlled corporations</w:t>
      </w:r>
      <w:r w:rsidR="00BA0407" w:rsidRPr="0042152F">
        <w:rPr>
          <w:rFonts w:ascii="Times New Roman" w:hAnsi="Times New Roman" w:cs="Times New Roman"/>
          <w:sz w:val="24"/>
          <w:szCs w:val="24"/>
        </w:rPr>
        <w:t xml:space="preserve"> protect</w:t>
      </w:r>
      <w:r w:rsidR="00A34F49" w:rsidRPr="0042152F">
        <w:rPr>
          <w:rFonts w:ascii="Times New Roman" w:hAnsi="Times New Roman" w:cs="Times New Roman"/>
          <w:sz w:val="24"/>
          <w:szCs w:val="24"/>
        </w:rPr>
        <w:t xml:space="preserve"> minority shareholders </w:t>
      </w:r>
      <w:r w:rsidR="007D49A0" w:rsidRPr="0042152F">
        <w:rPr>
          <w:rFonts w:ascii="Times New Roman" w:hAnsi="Times New Roman" w:cs="Times New Roman"/>
          <w:sz w:val="24"/>
          <w:szCs w:val="24"/>
        </w:rPr>
        <w:t>is critically important for value creation</w:t>
      </w:r>
      <w:r w:rsidR="00E376FE">
        <w:rPr>
          <w:rFonts w:ascii="Times New Roman" w:hAnsi="Times New Roman" w:cs="Times New Roman"/>
          <w:sz w:val="24"/>
          <w:szCs w:val="24"/>
        </w:rPr>
        <w:t>,</w:t>
      </w:r>
      <w:r w:rsidR="00BA0407" w:rsidRPr="0042152F">
        <w:rPr>
          <w:rStyle w:val="FootnoteReference"/>
          <w:rFonts w:ascii="Times New Roman" w:hAnsi="Times New Roman" w:cs="Times New Roman"/>
          <w:sz w:val="24"/>
          <w:szCs w:val="24"/>
        </w:rPr>
        <w:footnoteReference w:id="59"/>
      </w:r>
      <w:r w:rsidR="007D49A0" w:rsidRPr="0042152F">
        <w:rPr>
          <w:rFonts w:ascii="Times New Roman" w:hAnsi="Times New Roman" w:cs="Times New Roman"/>
          <w:sz w:val="24"/>
          <w:szCs w:val="24"/>
        </w:rPr>
        <w:t xml:space="preserve"> but so is refraining from</w:t>
      </w:r>
      <w:r w:rsidRPr="0042152F">
        <w:rPr>
          <w:rFonts w:ascii="Times New Roman" w:hAnsi="Times New Roman" w:cs="Times New Roman"/>
          <w:sz w:val="24"/>
          <w:szCs w:val="24"/>
        </w:rPr>
        <w:t xml:space="preserve"> subjecting entrepreneurs</w:t>
      </w:r>
      <w:r w:rsidR="007D49A0" w:rsidRPr="0042152F">
        <w:rPr>
          <w:rFonts w:ascii="Times New Roman" w:hAnsi="Times New Roman" w:cs="Times New Roman"/>
          <w:sz w:val="24"/>
          <w:szCs w:val="24"/>
        </w:rPr>
        <w:t xml:space="preserve"> and the companies that they build</w:t>
      </w:r>
      <w:r w:rsidRPr="0042152F">
        <w:rPr>
          <w:rFonts w:ascii="Times New Roman" w:hAnsi="Times New Roman" w:cs="Times New Roman"/>
          <w:sz w:val="24"/>
          <w:szCs w:val="24"/>
        </w:rPr>
        <w:t xml:space="preserve"> to undue judicial second-guessing. </w:t>
      </w:r>
      <w:r w:rsidR="00146BEE">
        <w:rPr>
          <w:rFonts w:ascii="Times New Roman" w:hAnsi="Times New Roman" w:cs="Times New Roman"/>
          <w:sz w:val="24"/>
          <w:szCs w:val="24"/>
        </w:rPr>
        <w:t xml:space="preserve">Entrepreneurs face many challenges, and an unfriendly </w:t>
      </w:r>
      <w:r w:rsidR="00146BEE">
        <w:rPr>
          <w:rFonts w:ascii="Times New Roman" w:hAnsi="Times New Roman" w:cs="Times New Roman"/>
          <w:sz w:val="24"/>
          <w:szCs w:val="24"/>
        </w:rPr>
        <w:lastRenderedPageBreak/>
        <w:t>legal environment will only further hamper the execution of their ideas.</w:t>
      </w:r>
      <w:r w:rsidR="00146BEE">
        <w:rPr>
          <w:rStyle w:val="FootnoteReference"/>
          <w:rFonts w:ascii="Times New Roman" w:hAnsi="Times New Roman" w:cs="Times New Roman"/>
          <w:sz w:val="24"/>
          <w:szCs w:val="24"/>
        </w:rPr>
        <w:footnoteReference w:id="60"/>
      </w:r>
      <w:r w:rsidR="00146BEE">
        <w:rPr>
          <w:rFonts w:ascii="Times New Roman" w:hAnsi="Times New Roman" w:cs="Times New Roman"/>
          <w:sz w:val="24"/>
          <w:szCs w:val="24"/>
        </w:rPr>
        <w:t xml:space="preserve">  </w:t>
      </w:r>
      <w:r w:rsidR="00BF5F5C" w:rsidRPr="0042152F">
        <w:rPr>
          <w:rFonts w:ascii="Times New Roman" w:hAnsi="Times New Roman" w:cs="Times New Roman"/>
          <w:sz w:val="24"/>
          <w:szCs w:val="24"/>
        </w:rPr>
        <w:t xml:space="preserve">Delaware needs to get </w:t>
      </w:r>
      <w:r w:rsidR="00BA0407" w:rsidRPr="0042152F">
        <w:rPr>
          <w:rFonts w:ascii="Times New Roman" w:hAnsi="Times New Roman" w:cs="Times New Roman"/>
          <w:sz w:val="24"/>
          <w:szCs w:val="24"/>
        </w:rPr>
        <w:t>the</w:t>
      </w:r>
      <w:r w:rsidRPr="0042152F">
        <w:rPr>
          <w:rFonts w:ascii="Times New Roman" w:hAnsi="Times New Roman" w:cs="Times New Roman"/>
          <w:sz w:val="24"/>
          <w:szCs w:val="24"/>
        </w:rPr>
        <w:t xml:space="preserve"> balance</w:t>
      </w:r>
      <w:r w:rsidR="00BA0407" w:rsidRPr="0042152F">
        <w:rPr>
          <w:rFonts w:ascii="Times New Roman" w:hAnsi="Times New Roman" w:cs="Times New Roman"/>
          <w:sz w:val="24"/>
          <w:szCs w:val="24"/>
        </w:rPr>
        <w:t xml:space="preserve"> right</w:t>
      </w:r>
      <w:r w:rsidRPr="0042152F">
        <w:rPr>
          <w:rFonts w:ascii="Times New Roman" w:hAnsi="Times New Roman" w:cs="Times New Roman"/>
          <w:sz w:val="24"/>
          <w:szCs w:val="24"/>
        </w:rPr>
        <w:t xml:space="preserve"> </w:t>
      </w:r>
      <w:r w:rsidR="00BF5F5C" w:rsidRPr="0042152F">
        <w:rPr>
          <w:rFonts w:ascii="Times New Roman" w:hAnsi="Times New Roman" w:cs="Times New Roman"/>
          <w:sz w:val="24"/>
          <w:szCs w:val="24"/>
        </w:rPr>
        <w:t>not just to support</w:t>
      </w:r>
      <w:r w:rsidRPr="0042152F">
        <w:rPr>
          <w:rFonts w:ascii="Times New Roman" w:hAnsi="Times New Roman" w:cs="Times New Roman"/>
          <w:sz w:val="24"/>
          <w:szCs w:val="24"/>
        </w:rPr>
        <w:t xml:space="preserve"> the execution of transformative </w:t>
      </w:r>
      <w:r w:rsidR="00146BEE">
        <w:rPr>
          <w:rFonts w:ascii="Times New Roman" w:hAnsi="Times New Roman" w:cs="Times New Roman"/>
          <w:sz w:val="24"/>
          <w:szCs w:val="24"/>
        </w:rPr>
        <w:t>products and services</w:t>
      </w:r>
      <w:r w:rsidR="00BF5F5C" w:rsidRPr="0042152F">
        <w:rPr>
          <w:rFonts w:ascii="Times New Roman" w:hAnsi="Times New Roman" w:cs="Times New Roman"/>
          <w:sz w:val="24"/>
          <w:szCs w:val="24"/>
        </w:rPr>
        <w:t xml:space="preserve"> but also to</w:t>
      </w:r>
      <w:r w:rsidR="00BA0407"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maintain </w:t>
      </w:r>
      <w:r w:rsidR="00DB2B78" w:rsidRPr="0042152F">
        <w:rPr>
          <w:rFonts w:ascii="Times New Roman" w:hAnsi="Times New Roman" w:cs="Times New Roman"/>
          <w:sz w:val="24"/>
          <w:szCs w:val="24"/>
        </w:rPr>
        <w:t xml:space="preserve">its </w:t>
      </w:r>
      <w:r w:rsidRPr="0042152F">
        <w:rPr>
          <w:rFonts w:ascii="Times New Roman" w:hAnsi="Times New Roman" w:cs="Times New Roman"/>
          <w:sz w:val="24"/>
          <w:szCs w:val="24"/>
        </w:rPr>
        <w:t>dominance</w:t>
      </w:r>
      <w:r w:rsidR="007D49A0" w:rsidRPr="0042152F">
        <w:rPr>
          <w:rFonts w:ascii="Times New Roman" w:hAnsi="Times New Roman" w:cs="Times New Roman"/>
          <w:sz w:val="24"/>
          <w:szCs w:val="24"/>
        </w:rPr>
        <w:t xml:space="preserve"> in corporate law.</w:t>
      </w:r>
      <w:r w:rsidR="00BF5F5C" w:rsidRPr="0042152F">
        <w:rPr>
          <w:rStyle w:val="FootnoteReference"/>
          <w:rFonts w:ascii="Times New Roman" w:hAnsi="Times New Roman" w:cs="Times New Roman"/>
          <w:sz w:val="24"/>
          <w:szCs w:val="24"/>
        </w:rPr>
        <w:footnoteReference w:id="61"/>
      </w:r>
      <w:r w:rsidR="007D49A0" w:rsidRPr="0042152F">
        <w:rPr>
          <w:rFonts w:ascii="Times New Roman" w:hAnsi="Times New Roman" w:cs="Times New Roman"/>
          <w:sz w:val="24"/>
          <w:szCs w:val="24"/>
        </w:rPr>
        <w:t xml:space="preserve"> </w:t>
      </w:r>
    </w:p>
    <w:p w14:paraId="720616A4" w14:textId="4EB70B64" w:rsidR="00AC5551" w:rsidRPr="0042152F" w:rsidRDefault="00AC555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Our Article proceeds as follows. Part II </w:t>
      </w:r>
      <w:r w:rsidR="007D49A0" w:rsidRPr="0042152F">
        <w:rPr>
          <w:rFonts w:ascii="Times New Roman" w:hAnsi="Times New Roman" w:cs="Times New Roman"/>
          <w:sz w:val="24"/>
          <w:szCs w:val="24"/>
        </w:rPr>
        <w:t xml:space="preserve">provides an overview of </w:t>
      </w:r>
      <w:r w:rsidRPr="0042152F">
        <w:rPr>
          <w:rFonts w:ascii="Times New Roman" w:hAnsi="Times New Roman" w:cs="Times New Roman"/>
          <w:sz w:val="24"/>
          <w:szCs w:val="24"/>
        </w:rPr>
        <w:t xml:space="preserve">Delaware’s legal regime for </w:t>
      </w:r>
      <w:r w:rsidR="002858EF" w:rsidRPr="0042152F">
        <w:rPr>
          <w:rFonts w:ascii="Times New Roman" w:hAnsi="Times New Roman" w:cs="Times New Roman"/>
          <w:sz w:val="24"/>
          <w:szCs w:val="24"/>
        </w:rPr>
        <w:t>controller self-dealing</w:t>
      </w:r>
      <w:r w:rsidRPr="0042152F">
        <w:rPr>
          <w:rFonts w:ascii="Times New Roman" w:hAnsi="Times New Roman" w:cs="Times New Roman"/>
          <w:sz w:val="24"/>
          <w:szCs w:val="24"/>
        </w:rPr>
        <w:t xml:space="preserve"> transactions. Part III demonstrates the impossibility of accurately valuing an entrepreneur’s idiosyncratic vision and </w:t>
      </w:r>
      <w:r w:rsidR="007D49A0" w:rsidRPr="0042152F">
        <w:rPr>
          <w:rFonts w:ascii="Times New Roman" w:hAnsi="Times New Roman" w:cs="Times New Roman"/>
          <w:sz w:val="24"/>
          <w:szCs w:val="24"/>
        </w:rPr>
        <w:t xml:space="preserve">shows </w:t>
      </w:r>
      <w:r w:rsidRPr="0042152F">
        <w:rPr>
          <w:rFonts w:ascii="Times New Roman" w:hAnsi="Times New Roman" w:cs="Times New Roman"/>
          <w:sz w:val="24"/>
          <w:szCs w:val="24"/>
        </w:rPr>
        <w:t xml:space="preserve">how these difficulties impact </w:t>
      </w:r>
      <w:r w:rsidR="00405762" w:rsidRPr="0042152F">
        <w:rPr>
          <w:rFonts w:ascii="Times New Roman" w:hAnsi="Times New Roman" w:cs="Times New Roman"/>
          <w:sz w:val="24"/>
          <w:szCs w:val="24"/>
        </w:rPr>
        <w:t>judicial valuation, as well as special committee functioning and the shareholder vote</w:t>
      </w:r>
      <w:r w:rsidRPr="0042152F">
        <w:rPr>
          <w:rFonts w:ascii="Times New Roman" w:hAnsi="Times New Roman" w:cs="Times New Roman"/>
          <w:sz w:val="24"/>
          <w:szCs w:val="24"/>
        </w:rPr>
        <w:t>. Part IV describes our proposed framework for procedural cleansing and judicial valuation</w:t>
      </w:r>
      <w:r w:rsidR="009062D2" w:rsidRPr="0042152F">
        <w:rPr>
          <w:rFonts w:ascii="Times New Roman" w:hAnsi="Times New Roman" w:cs="Times New Roman"/>
          <w:sz w:val="24"/>
          <w:szCs w:val="24"/>
        </w:rPr>
        <w:t xml:space="preserve">. </w:t>
      </w:r>
    </w:p>
    <w:p w14:paraId="24345F23" w14:textId="3279AFDE" w:rsidR="00CE5E42" w:rsidRPr="0042152F" w:rsidRDefault="0097157D" w:rsidP="00B54C7C">
      <w:pPr>
        <w:pStyle w:val="Heading1"/>
        <w:numPr>
          <w:ilvl w:val="0"/>
          <w:numId w:val="0"/>
        </w:numPr>
        <w:spacing w:before="0" w:after="0"/>
        <w:ind w:left="720"/>
      </w:pPr>
      <w:bookmarkStart w:id="4" w:name="_Toc181789833"/>
      <w:r w:rsidRPr="0042152F">
        <w:t>I</w:t>
      </w:r>
      <w:r w:rsidR="005425B1">
        <w:t>I</w:t>
      </w:r>
      <w:r w:rsidRPr="0042152F">
        <w:t>.</w:t>
      </w:r>
      <w:r w:rsidRPr="0042152F">
        <w:tab/>
      </w:r>
      <w:r w:rsidR="00E71CEC" w:rsidRPr="0042152F">
        <w:t xml:space="preserve">Existing Regulation of Conflicted </w:t>
      </w:r>
      <w:r w:rsidR="002958A1" w:rsidRPr="0042152F">
        <w:t xml:space="preserve">Controller </w:t>
      </w:r>
      <w:r w:rsidR="00E71CEC" w:rsidRPr="0042152F">
        <w:t>Transactions</w:t>
      </w:r>
      <w:bookmarkEnd w:id="4"/>
    </w:p>
    <w:p w14:paraId="06028D0A" w14:textId="601F2069" w:rsidR="00AE1ACE" w:rsidRPr="0042152F" w:rsidRDefault="00D5760A" w:rsidP="002E3243">
      <w:pPr>
        <w:spacing w:after="120" w:line="360" w:lineRule="auto"/>
        <w:ind w:firstLine="720"/>
        <w:jc w:val="both"/>
        <w:rPr>
          <w:rFonts w:ascii="Times New Roman" w:eastAsia="NewBaskervilleITCPro-Roman" w:hAnsi="Times New Roman" w:cs="Times New Roman"/>
          <w:kern w:val="0"/>
          <w:sz w:val="24"/>
          <w:szCs w:val="24"/>
        </w:rPr>
      </w:pPr>
      <w:r w:rsidRPr="0042152F">
        <w:rPr>
          <w:rFonts w:ascii="Times New Roman" w:eastAsia="NewBaskervilleITCPro-Roman" w:hAnsi="Times New Roman" w:cs="Times New Roman"/>
          <w:kern w:val="0"/>
          <w:sz w:val="24"/>
          <w:szCs w:val="24"/>
        </w:rPr>
        <w:t xml:space="preserve">An important goal of corporate law is to protect </w:t>
      </w:r>
      <w:r w:rsidR="001F05E7">
        <w:rPr>
          <w:rFonts w:ascii="Times New Roman" w:eastAsia="NewBaskervilleITCPro-Roman" w:hAnsi="Times New Roman" w:cs="Times New Roman"/>
          <w:kern w:val="0"/>
          <w:sz w:val="24"/>
          <w:szCs w:val="24"/>
        </w:rPr>
        <w:t xml:space="preserve">minority </w:t>
      </w:r>
      <w:r w:rsidRPr="0042152F">
        <w:rPr>
          <w:rFonts w:ascii="Times New Roman" w:eastAsia="NewBaskervilleITCPro-Roman" w:hAnsi="Times New Roman" w:cs="Times New Roman"/>
          <w:kern w:val="0"/>
          <w:sz w:val="24"/>
          <w:szCs w:val="24"/>
        </w:rPr>
        <w:t>investors in controlled companies from opportunistic self-dealing by a controlling shareholder.</w:t>
      </w:r>
      <w:r w:rsidRPr="0042152F">
        <w:rPr>
          <w:rStyle w:val="FootnoteReference"/>
          <w:rFonts w:ascii="Times New Roman" w:eastAsia="NewBaskervilleITCPro-Roman" w:hAnsi="Times New Roman" w:cs="Times New Roman"/>
          <w:kern w:val="0"/>
          <w:sz w:val="24"/>
          <w:szCs w:val="24"/>
        </w:rPr>
        <w:footnoteReference w:id="62"/>
      </w:r>
      <w:r w:rsidR="00994058" w:rsidRPr="0042152F">
        <w:rPr>
          <w:rFonts w:ascii="Times New Roman" w:eastAsia="NewBaskervilleITCPro-Roman" w:hAnsi="Times New Roman" w:cs="Times New Roman"/>
          <w:kern w:val="0"/>
          <w:sz w:val="24"/>
          <w:szCs w:val="24"/>
        </w:rPr>
        <w:t xml:space="preserve"> While an entrepreneur-controller </w:t>
      </w:r>
      <w:r w:rsidR="00B576A8">
        <w:rPr>
          <w:rFonts w:ascii="Times New Roman" w:eastAsia="NewBaskervilleITCPro-Roman" w:hAnsi="Times New Roman" w:cs="Times New Roman"/>
          <w:kern w:val="0"/>
          <w:sz w:val="24"/>
          <w:szCs w:val="24"/>
        </w:rPr>
        <w:t>may</w:t>
      </w:r>
      <w:r w:rsidR="00EC10DC" w:rsidRPr="0042152F">
        <w:rPr>
          <w:rFonts w:ascii="Times New Roman" w:eastAsia="NewBaskervilleITCPro-Roman" w:hAnsi="Times New Roman" w:cs="Times New Roman"/>
          <w:kern w:val="0"/>
          <w:sz w:val="24"/>
          <w:szCs w:val="24"/>
        </w:rPr>
        <w:t xml:space="preserve"> </w:t>
      </w:r>
      <w:r w:rsidR="00994058" w:rsidRPr="0042152F">
        <w:rPr>
          <w:rFonts w:ascii="Times New Roman" w:eastAsia="NewBaskervilleITCPro-Roman" w:hAnsi="Times New Roman" w:cs="Times New Roman"/>
          <w:kern w:val="0"/>
          <w:sz w:val="24"/>
          <w:szCs w:val="24"/>
        </w:rPr>
        <w:t xml:space="preserve">use their control in order to pursue their idiosyncratic vision, </w:t>
      </w:r>
      <w:r w:rsidR="009062D2" w:rsidRPr="0042152F">
        <w:rPr>
          <w:rFonts w:ascii="Times New Roman" w:eastAsia="NewBaskervilleITCPro-Roman" w:hAnsi="Times New Roman" w:cs="Times New Roman"/>
          <w:kern w:val="0"/>
          <w:sz w:val="24"/>
          <w:szCs w:val="24"/>
        </w:rPr>
        <w:t>they</w:t>
      </w:r>
      <w:r w:rsidR="00994058" w:rsidRPr="0042152F">
        <w:rPr>
          <w:rFonts w:ascii="Times New Roman" w:eastAsia="NewBaskervilleITCPro-Roman" w:hAnsi="Times New Roman" w:cs="Times New Roman"/>
          <w:kern w:val="0"/>
          <w:sz w:val="24"/>
          <w:szCs w:val="24"/>
        </w:rPr>
        <w:t xml:space="preserve"> might also engage in self-dealing</w:t>
      </w:r>
      <w:r w:rsidR="009062D2" w:rsidRPr="0042152F">
        <w:rPr>
          <w:rFonts w:ascii="Times New Roman" w:eastAsia="NewBaskervilleITCPro-Roman" w:hAnsi="Times New Roman" w:cs="Times New Roman"/>
          <w:kern w:val="0"/>
          <w:sz w:val="24"/>
          <w:szCs w:val="24"/>
        </w:rPr>
        <w:t>,</w:t>
      </w:r>
      <w:r w:rsidR="00994058" w:rsidRPr="0042152F">
        <w:rPr>
          <w:rFonts w:ascii="Times New Roman" w:eastAsia="NewBaskervilleITCPro-Roman" w:hAnsi="Times New Roman" w:cs="Times New Roman"/>
          <w:kern w:val="0"/>
          <w:sz w:val="24"/>
          <w:szCs w:val="24"/>
        </w:rPr>
        <w:t xml:space="preserve"> extract</w:t>
      </w:r>
      <w:r w:rsidR="009062D2" w:rsidRPr="0042152F">
        <w:rPr>
          <w:rFonts w:ascii="Times New Roman" w:eastAsia="NewBaskervilleITCPro-Roman" w:hAnsi="Times New Roman" w:cs="Times New Roman"/>
          <w:kern w:val="0"/>
          <w:sz w:val="24"/>
          <w:szCs w:val="24"/>
        </w:rPr>
        <w:t xml:space="preserve">ing </w:t>
      </w:r>
      <w:r w:rsidR="00994058" w:rsidRPr="0042152F">
        <w:rPr>
          <w:rFonts w:ascii="Times New Roman" w:eastAsia="NewBaskervilleITCPro-Roman" w:hAnsi="Times New Roman" w:cs="Times New Roman"/>
          <w:kern w:val="0"/>
          <w:sz w:val="24"/>
          <w:szCs w:val="24"/>
        </w:rPr>
        <w:t>private benefits at the expense of the minority shareholders.</w:t>
      </w:r>
      <w:r w:rsidR="00994058" w:rsidRPr="0042152F">
        <w:rPr>
          <w:rStyle w:val="FootnoteReference"/>
          <w:rFonts w:ascii="Times New Roman" w:eastAsia="NewBaskervilleITCPro-Roman" w:hAnsi="Times New Roman" w:cs="Times New Roman"/>
          <w:kern w:val="0"/>
          <w:sz w:val="24"/>
          <w:szCs w:val="24"/>
        </w:rPr>
        <w:footnoteReference w:id="63"/>
      </w:r>
      <w:r w:rsidR="00994058" w:rsidRPr="0042152F">
        <w:rPr>
          <w:rFonts w:ascii="Times New Roman" w:eastAsia="NewBaskervilleITCPro-Roman" w:hAnsi="Times New Roman" w:cs="Times New Roman"/>
          <w:kern w:val="0"/>
          <w:sz w:val="24"/>
          <w:szCs w:val="24"/>
        </w:rPr>
        <w:t xml:space="preserve"> </w:t>
      </w:r>
      <w:r w:rsidR="002958A1" w:rsidRPr="0042152F">
        <w:rPr>
          <w:rFonts w:ascii="Times New Roman" w:eastAsia="NewBaskervilleITCPro-Roman" w:hAnsi="Times New Roman" w:cs="Times New Roman"/>
          <w:kern w:val="0"/>
          <w:sz w:val="24"/>
          <w:szCs w:val="24"/>
        </w:rPr>
        <w:t xml:space="preserve">In this Part, we review the existing </w:t>
      </w:r>
      <w:r w:rsidR="00B576A8">
        <w:rPr>
          <w:rFonts w:ascii="Times New Roman" w:eastAsia="NewBaskervilleITCPro-Roman" w:hAnsi="Times New Roman" w:cs="Times New Roman"/>
          <w:kern w:val="0"/>
          <w:sz w:val="24"/>
          <w:szCs w:val="24"/>
        </w:rPr>
        <w:t xml:space="preserve">legal </w:t>
      </w:r>
      <w:r w:rsidR="009E536F">
        <w:rPr>
          <w:rFonts w:ascii="Times New Roman" w:eastAsia="NewBaskervilleITCPro-Roman" w:hAnsi="Times New Roman" w:cs="Times New Roman"/>
          <w:kern w:val="0"/>
          <w:sz w:val="24"/>
          <w:szCs w:val="24"/>
        </w:rPr>
        <w:t>regime governing</w:t>
      </w:r>
      <w:r w:rsidR="009E536F" w:rsidRPr="0042152F">
        <w:rPr>
          <w:rFonts w:ascii="Times New Roman" w:eastAsia="NewBaskervilleITCPro-Roman" w:hAnsi="Times New Roman" w:cs="Times New Roman"/>
          <w:kern w:val="0"/>
          <w:sz w:val="24"/>
          <w:szCs w:val="24"/>
        </w:rPr>
        <w:t xml:space="preserve"> </w:t>
      </w:r>
      <w:r w:rsidR="002958A1" w:rsidRPr="0042152F">
        <w:rPr>
          <w:rFonts w:ascii="Times New Roman" w:eastAsia="NewBaskervilleITCPro-Roman" w:hAnsi="Times New Roman" w:cs="Times New Roman"/>
          <w:kern w:val="0"/>
          <w:sz w:val="24"/>
          <w:szCs w:val="24"/>
        </w:rPr>
        <w:t xml:space="preserve">controller transactions in Delaware. </w:t>
      </w:r>
      <w:r w:rsidR="00B576A8">
        <w:rPr>
          <w:rFonts w:ascii="Times New Roman" w:eastAsia="NewBaskervilleITCPro-Roman" w:hAnsi="Times New Roman" w:cs="Times New Roman"/>
          <w:kern w:val="0"/>
          <w:sz w:val="24"/>
          <w:szCs w:val="24"/>
        </w:rPr>
        <w:t xml:space="preserve">Specifically, </w:t>
      </w:r>
      <w:r w:rsidR="00CE5E42" w:rsidRPr="0042152F">
        <w:rPr>
          <w:rFonts w:ascii="Times New Roman" w:eastAsia="NewBaskervilleITCPro-Roman" w:hAnsi="Times New Roman" w:cs="Times New Roman"/>
          <w:kern w:val="0"/>
          <w:sz w:val="24"/>
          <w:szCs w:val="24"/>
        </w:rPr>
        <w:t xml:space="preserve">Delaware relies on its expert courts to </w:t>
      </w:r>
      <w:r w:rsidR="0011385A" w:rsidRPr="0042152F">
        <w:rPr>
          <w:rFonts w:ascii="Times New Roman" w:eastAsia="NewBaskervilleITCPro-Roman" w:hAnsi="Times New Roman" w:cs="Times New Roman"/>
          <w:kern w:val="0"/>
          <w:sz w:val="24"/>
          <w:szCs w:val="24"/>
        </w:rPr>
        <w:t>police</w:t>
      </w:r>
      <w:r w:rsidR="00CE5E42" w:rsidRPr="0042152F">
        <w:rPr>
          <w:rFonts w:ascii="Times New Roman" w:eastAsia="NewBaskervilleITCPro-Roman" w:hAnsi="Times New Roman" w:cs="Times New Roman"/>
          <w:kern w:val="0"/>
          <w:sz w:val="24"/>
          <w:szCs w:val="24"/>
        </w:rPr>
        <w:t xml:space="preserve"> self-dealing, and these courts have developed a sophisticated doctrinal </w:t>
      </w:r>
      <w:r w:rsidR="009E536F">
        <w:rPr>
          <w:rFonts w:ascii="Times New Roman" w:eastAsia="NewBaskervilleITCPro-Roman" w:hAnsi="Times New Roman" w:cs="Times New Roman"/>
          <w:kern w:val="0"/>
          <w:sz w:val="24"/>
          <w:szCs w:val="24"/>
        </w:rPr>
        <w:t xml:space="preserve">framework </w:t>
      </w:r>
      <w:r w:rsidR="00CE5E42" w:rsidRPr="0042152F">
        <w:rPr>
          <w:rFonts w:ascii="Times New Roman" w:eastAsia="NewBaskervilleITCPro-Roman" w:hAnsi="Times New Roman" w:cs="Times New Roman"/>
          <w:kern w:val="0"/>
          <w:sz w:val="24"/>
          <w:szCs w:val="24"/>
        </w:rPr>
        <w:t>for that purpose.</w:t>
      </w:r>
      <w:r w:rsidR="00CE5E42" w:rsidRPr="0042152F">
        <w:rPr>
          <w:rStyle w:val="FootnoteReference"/>
          <w:rFonts w:ascii="Times New Roman" w:eastAsia="NewBaskervilleITCPro-Roman" w:hAnsi="Times New Roman" w:cs="Times New Roman"/>
          <w:kern w:val="0"/>
          <w:sz w:val="24"/>
          <w:szCs w:val="24"/>
        </w:rPr>
        <w:footnoteReference w:id="64"/>
      </w:r>
      <w:r w:rsidR="00CE5E42" w:rsidRPr="0042152F">
        <w:rPr>
          <w:rFonts w:ascii="Times New Roman" w:eastAsia="NewBaskervilleITCPro-Roman" w:hAnsi="Times New Roman" w:cs="Times New Roman"/>
          <w:kern w:val="0"/>
          <w:sz w:val="24"/>
          <w:szCs w:val="24"/>
        </w:rPr>
        <w:t xml:space="preserve"> </w:t>
      </w:r>
      <w:r w:rsidR="00E50EAF" w:rsidRPr="0042152F">
        <w:rPr>
          <w:rFonts w:ascii="Times New Roman" w:eastAsia="NewBaskervilleITCPro-Roman" w:hAnsi="Times New Roman" w:cs="Times New Roman"/>
          <w:kern w:val="0"/>
          <w:sz w:val="24"/>
          <w:szCs w:val="24"/>
        </w:rPr>
        <w:t>The Sections that follow</w:t>
      </w:r>
      <w:r w:rsidR="002958A1" w:rsidRPr="0042152F">
        <w:rPr>
          <w:rFonts w:ascii="Times New Roman" w:eastAsia="NewBaskervilleITCPro-Roman" w:hAnsi="Times New Roman" w:cs="Times New Roman"/>
          <w:kern w:val="0"/>
          <w:sz w:val="24"/>
          <w:szCs w:val="24"/>
        </w:rPr>
        <w:t xml:space="preserve"> describe this framework</w:t>
      </w:r>
      <w:r w:rsidR="007B7C46" w:rsidRPr="0042152F">
        <w:rPr>
          <w:rFonts w:ascii="Times New Roman" w:eastAsia="NewBaskervilleITCPro-Roman" w:hAnsi="Times New Roman" w:cs="Times New Roman"/>
          <w:kern w:val="0"/>
          <w:sz w:val="24"/>
          <w:szCs w:val="24"/>
        </w:rPr>
        <w:t xml:space="preserve"> and preview some of its limitations</w:t>
      </w:r>
      <w:r w:rsidR="00561483" w:rsidRPr="0042152F">
        <w:rPr>
          <w:rFonts w:ascii="Times New Roman" w:eastAsia="NewBaskervilleITCPro-Roman" w:hAnsi="Times New Roman" w:cs="Times New Roman"/>
          <w:kern w:val="0"/>
          <w:sz w:val="24"/>
          <w:szCs w:val="24"/>
        </w:rPr>
        <w:t xml:space="preserve">. </w:t>
      </w:r>
      <w:r w:rsidR="002958A1" w:rsidRPr="0042152F">
        <w:rPr>
          <w:rFonts w:ascii="Times New Roman" w:eastAsia="NewBaskervilleITCPro-Roman" w:hAnsi="Times New Roman" w:cs="Times New Roman"/>
          <w:kern w:val="0"/>
          <w:sz w:val="24"/>
          <w:szCs w:val="24"/>
        </w:rPr>
        <w:t xml:space="preserve"> </w:t>
      </w:r>
    </w:p>
    <w:p w14:paraId="2CA6E102" w14:textId="7CDF0810" w:rsidR="00B26031" w:rsidRPr="00B26031" w:rsidRDefault="00AE1ACE" w:rsidP="00B26031">
      <w:pPr>
        <w:pStyle w:val="Heading2"/>
        <w:numPr>
          <w:ilvl w:val="0"/>
          <w:numId w:val="36"/>
        </w:numPr>
        <w:spacing w:before="0" w:line="360" w:lineRule="auto"/>
      </w:pPr>
      <w:bookmarkStart w:id="5" w:name="_Toc181789834"/>
      <w:r w:rsidRPr="0042152F">
        <w:lastRenderedPageBreak/>
        <w:t>Entire Fairness Review</w:t>
      </w:r>
      <w:r w:rsidR="003C5703" w:rsidRPr="0042152F">
        <w:t xml:space="preserve"> and Valuation</w:t>
      </w:r>
      <w:bookmarkEnd w:id="5"/>
    </w:p>
    <w:p w14:paraId="39402254" w14:textId="6CF8883C" w:rsidR="007B7C46" w:rsidRPr="0042152F" w:rsidRDefault="00D76CB9" w:rsidP="00B26031">
      <w:pPr>
        <w:spacing w:after="0" w:line="360" w:lineRule="auto"/>
        <w:ind w:firstLine="720"/>
        <w:jc w:val="both"/>
        <w:rPr>
          <w:rFonts w:ascii="Times New Roman" w:eastAsia="NewBaskervilleITCPro-Roman" w:hAnsi="Times New Roman" w:cs="Times New Roman"/>
          <w:kern w:val="0"/>
          <w:sz w:val="24"/>
          <w:szCs w:val="24"/>
        </w:rPr>
      </w:pPr>
      <w:r w:rsidRPr="0042152F">
        <w:rPr>
          <w:rFonts w:ascii="Times New Roman" w:eastAsia="NewBaskervilleITCPro-Roman" w:hAnsi="Times New Roman" w:cs="Times New Roman"/>
          <w:kern w:val="0"/>
          <w:sz w:val="24"/>
          <w:szCs w:val="24"/>
        </w:rPr>
        <w:t>In Delaware, the standard of review for self-dealing transactions—by controllers and other fiduciaries alike—is entire fairness</w:t>
      </w:r>
      <w:r w:rsidR="00E66DA6" w:rsidRPr="0042152F">
        <w:rPr>
          <w:rFonts w:ascii="Times New Roman" w:eastAsia="NewBaskervilleITCPro-Roman" w:hAnsi="Times New Roman" w:cs="Times New Roman"/>
          <w:kern w:val="0"/>
          <w:sz w:val="24"/>
          <w:szCs w:val="24"/>
        </w:rPr>
        <w:t>,</w:t>
      </w:r>
      <w:r w:rsidR="00E66DA6" w:rsidRPr="0042152F">
        <w:rPr>
          <w:rStyle w:val="FootnoteReference"/>
          <w:rFonts w:ascii="Times New Roman" w:eastAsia="NewBaskervilleITCPro-Roman" w:hAnsi="Times New Roman" w:cs="Times New Roman"/>
          <w:kern w:val="0"/>
          <w:sz w:val="24"/>
          <w:szCs w:val="24"/>
        </w:rPr>
        <w:footnoteReference w:id="65"/>
      </w:r>
      <w:r w:rsidR="00E66DA6" w:rsidRPr="0042152F">
        <w:rPr>
          <w:rFonts w:ascii="Times New Roman" w:eastAsia="NewBaskervilleITCPro-Roman" w:hAnsi="Times New Roman" w:cs="Times New Roman"/>
          <w:kern w:val="0"/>
          <w:sz w:val="24"/>
          <w:szCs w:val="24"/>
        </w:rPr>
        <w:t xml:space="preserve"> </w:t>
      </w:r>
      <w:r w:rsidR="00872A76" w:rsidRPr="0042152F">
        <w:rPr>
          <w:rFonts w:ascii="Times New Roman" w:hAnsi="Times New Roman" w:cs="Times New Roman"/>
          <w:sz w:val="24"/>
          <w:szCs w:val="24"/>
        </w:rPr>
        <w:t xml:space="preserve">the most searching </w:t>
      </w:r>
      <w:r w:rsidR="00E66DA6" w:rsidRPr="0042152F">
        <w:rPr>
          <w:rFonts w:ascii="Times New Roman" w:hAnsi="Times New Roman" w:cs="Times New Roman"/>
          <w:sz w:val="24"/>
          <w:szCs w:val="24"/>
        </w:rPr>
        <w:t>standard of review</w:t>
      </w:r>
      <w:r w:rsidR="00872A76" w:rsidRPr="0042152F">
        <w:rPr>
          <w:rFonts w:ascii="Times New Roman" w:hAnsi="Times New Roman" w:cs="Times New Roman"/>
          <w:sz w:val="24"/>
          <w:szCs w:val="24"/>
        </w:rPr>
        <w:t xml:space="preserve"> under Delaware law.</w:t>
      </w:r>
      <w:r w:rsidR="00872A76" w:rsidRPr="0042152F">
        <w:rPr>
          <w:rFonts w:ascii="Times New Roman" w:hAnsi="Times New Roman" w:cs="Times New Roman"/>
          <w:sz w:val="24"/>
          <w:szCs w:val="24"/>
          <w:vertAlign w:val="superscript"/>
        </w:rPr>
        <w:footnoteReference w:id="66"/>
      </w:r>
      <w:r w:rsidR="00872A76" w:rsidRPr="0042152F">
        <w:rPr>
          <w:rFonts w:ascii="Times New Roman" w:hAnsi="Times New Roman" w:cs="Times New Roman"/>
          <w:sz w:val="24"/>
          <w:szCs w:val="24"/>
        </w:rPr>
        <w:t xml:space="preserve"> </w:t>
      </w:r>
      <w:r w:rsidR="007B7C46" w:rsidRPr="0042152F">
        <w:rPr>
          <w:rFonts w:ascii="Times New Roman" w:hAnsi="Times New Roman" w:cs="Times New Roman"/>
          <w:sz w:val="24"/>
          <w:szCs w:val="24"/>
        </w:rPr>
        <w:t xml:space="preserve">Entire fairness review places the burden on the controller to prove that the disputed transaction was </w:t>
      </w:r>
      <w:r w:rsidR="00E80941" w:rsidRPr="0042152F">
        <w:rPr>
          <w:rFonts w:ascii="Times New Roman" w:hAnsi="Times New Roman" w:cs="Times New Roman"/>
          <w:sz w:val="24"/>
          <w:szCs w:val="24"/>
        </w:rPr>
        <w:t>“</w:t>
      </w:r>
      <w:r w:rsidR="007B7C46" w:rsidRPr="0042152F">
        <w:rPr>
          <w:rFonts w:ascii="Times New Roman" w:hAnsi="Times New Roman" w:cs="Times New Roman"/>
          <w:sz w:val="24"/>
          <w:szCs w:val="24"/>
        </w:rPr>
        <w:t>entirely fair.</w:t>
      </w:r>
      <w:r w:rsidR="00E80941" w:rsidRPr="0042152F">
        <w:rPr>
          <w:rFonts w:ascii="Times New Roman" w:hAnsi="Times New Roman" w:cs="Times New Roman"/>
          <w:sz w:val="24"/>
          <w:szCs w:val="24"/>
        </w:rPr>
        <w:t>”</w:t>
      </w:r>
      <w:r w:rsidR="00771A59" w:rsidRPr="0042152F">
        <w:rPr>
          <w:rStyle w:val="FootnoteReference"/>
          <w:rFonts w:ascii="Times New Roman" w:hAnsi="Times New Roman" w:cs="Times New Roman"/>
          <w:sz w:val="24"/>
          <w:szCs w:val="24"/>
        </w:rPr>
        <w:footnoteReference w:id="67"/>
      </w:r>
      <w:r w:rsidR="007B7C46" w:rsidRPr="0042152F">
        <w:rPr>
          <w:rFonts w:ascii="Times New Roman" w:hAnsi="Times New Roman" w:cs="Times New Roman"/>
          <w:sz w:val="24"/>
          <w:szCs w:val="24"/>
        </w:rPr>
        <w:t xml:space="preserve"> </w:t>
      </w:r>
      <w:r w:rsidR="00C87D1A" w:rsidRPr="0042152F">
        <w:rPr>
          <w:rFonts w:ascii="Times New Roman" w:hAnsi="Times New Roman" w:cs="Times New Roman"/>
          <w:sz w:val="24"/>
          <w:szCs w:val="24"/>
        </w:rPr>
        <w:t>To meet their burden</w:t>
      </w:r>
      <w:r w:rsidR="007B7C46" w:rsidRPr="0042152F">
        <w:rPr>
          <w:rFonts w:ascii="Times New Roman" w:hAnsi="Times New Roman" w:cs="Times New Roman"/>
          <w:sz w:val="24"/>
          <w:szCs w:val="24"/>
        </w:rPr>
        <w:t xml:space="preserve">, the conflicted controller must </w:t>
      </w:r>
      <w:r w:rsidR="00C87D1A" w:rsidRPr="0042152F">
        <w:rPr>
          <w:rFonts w:ascii="Times New Roman" w:hAnsi="Times New Roman" w:cs="Times New Roman"/>
          <w:sz w:val="24"/>
          <w:szCs w:val="24"/>
        </w:rPr>
        <w:t xml:space="preserve">establish </w:t>
      </w:r>
      <w:r w:rsidR="007B7C46" w:rsidRPr="0042152F">
        <w:rPr>
          <w:rFonts w:ascii="Times New Roman" w:hAnsi="Times New Roman" w:cs="Times New Roman"/>
          <w:sz w:val="24"/>
          <w:szCs w:val="24"/>
        </w:rPr>
        <w:t xml:space="preserve">that </w:t>
      </w:r>
      <w:r w:rsidR="00931A27" w:rsidRPr="0042152F">
        <w:rPr>
          <w:rFonts w:ascii="Times New Roman" w:hAnsi="Times New Roman" w:cs="Times New Roman"/>
          <w:sz w:val="24"/>
          <w:szCs w:val="24"/>
        </w:rPr>
        <w:t xml:space="preserve">the transaction was negotiated via a fair process (“fair dealing”) and that </w:t>
      </w:r>
      <w:r w:rsidR="007B7C46" w:rsidRPr="0042152F">
        <w:rPr>
          <w:rFonts w:ascii="Times New Roman" w:hAnsi="Times New Roman" w:cs="Times New Roman"/>
          <w:sz w:val="24"/>
          <w:szCs w:val="24"/>
        </w:rPr>
        <w:t>the company received a “fair price</w:t>
      </w:r>
      <w:r w:rsidR="00931A27" w:rsidRPr="0042152F">
        <w:rPr>
          <w:rFonts w:ascii="Times New Roman" w:hAnsi="Times New Roman" w:cs="Times New Roman"/>
          <w:sz w:val="24"/>
          <w:szCs w:val="24"/>
        </w:rPr>
        <w:t>,</w:t>
      </w:r>
      <w:r w:rsidR="007B7C46" w:rsidRPr="0042152F">
        <w:rPr>
          <w:rFonts w:ascii="Times New Roman" w:hAnsi="Times New Roman" w:cs="Times New Roman"/>
          <w:sz w:val="24"/>
          <w:szCs w:val="24"/>
        </w:rPr>
        <w:t xml:space="preserve">” </w:t>
      </w:r>
      <w:r w:rsidR="00931A27" w:rsidRPr="0042152F">
        <w:rPr>
          <w:rFonts w:ascii="Times New Roman" w:hAnsi="Times New Roman" w:cs="Times New Roman"/>
          <w:sz w:val="24"/>
          <w:szCs w:val="24"/>
        </w:rPr>
        <w:t xml:space="preserve">which is a price resembling </w:t>
      </w:r>
      <w:r w:rsidR="003F7C30">
        <w:rPr>
          <w:rFonts w:ascii="Times New Roman" w:hAnsi="Times New Roman" w:cs="Times New Roman"/>
          <w:sz w:val="24"/>
          <w:szCs w:val="24"/>
        </w:rPr>
        <w:t xml:space="preserve">that which one would get in </w:t>
      </w:r>
      <w:r w:rsidR="00931A27" w:rsidRPr="0042152F">
        <w:rPr>
          <w:rFonts w:ascii="Times New Roman" w:hAnsi="Times New Roman" w:cs="Times New Roman"/>
          <w:sz w:val="24"/>
          <w:szCs w:val="24"/>
        </w:rPr>
        <w:t>an arm</w:t>
      </w:r>
      <w:r w:rsidR="003A7FBB">
        <w:rPr>
          <w:rFonts w:ascii="Times New Roman" w:hAnsi="Times New Roman" w:cs="Times New Roman"/>
          <w:sz w:val="24"/>
          <w:szCs w:val="24"/>
        </w:rPr>
        <w:t>s</w:t>
      </w:r>
      <w:r w:rsidR="00931A27" w:rsidRPr="0042152F">
        <w:rPr>
          <w:rFonts w:ascii="Times New Roman" w:hAnsi="Times New Roman" w:cs="Times New Roman"/>
          <w:sz w:val="24"/>
          <w:szCs w:val="24"/>
        </w:rPr>
        <w:t>-length transaction</w:t>
      </w:r>
      <w:r w:rsidR="007B7C46" w:rsidRPr="0042152F">
        <w:rPr>
          <w:rFonts w:ascii="Times New Roman" w:hAnsi="Times New Roman" w:cs="Times New Roman"/>
          <w:sz w:val="24"/>
          <w:szCs w:val="24"/>
        </w:rPr>
        <w:t>.</w:t>
      </w:r>
      <w:r w:rsidR="007B7C46" w:rsidRPr="0042152F">
        <w:rPr>
          <w:rStyle w:val="FootnoteReference"/>
          <w:rFonts w:ascii="Times New Roman" w:hAnsi="Times New Roman" w:cs="Times New Roman"/>
          <w:sz w:val="24"/>
          <w:szCs w:val="24"/>
        </w:rPr>
        <w:footnoteReference w:id="68"/>
      </w:r>
      <w:r w:rsidR="007B7C46" w:rsidRPr="0042152F">
        <w:rPr>
          <w:rFonts w:ascii="Times New Roman" w:hAnsi="Times New Roman" w:cs="Times New Roman"/>
          <w:sz w:val="24"/>
          <w:szCs w:val="24"/>
        </w:rPr>
        <w:t xml:space="preserve"> Effectively, this means that the controller </w:t>
      </w:r>
      <w:r w:rsidR="00B1315B" w:rsidRPr="0042152F">
        <w:rPr>
          <w:rFonts w:ascii="Times New Roman" w:hAnsi="Times New Roman" w:cs="Times New Roman"/>
          <w:sz w:val="24"/>
          <w:szCs w:val="24"/>
        </w:rPr>
        <w:t>can</w:t>
      </w:r>
      <w:r w:rsidR="007B7C46" w:rsidRPr="0042152F">
        <w:rPr>
          <w:rFonts w:ascii="Times New Roman" w:hAnsi="Times New Roman" w:cs="Times New Roman"/>
          <w:sz w:val="24"/>
          <w:szCs w:val="24"/>
        </w:rPr>
        <w:t xml:space="preserve"> force a self-dealing transaction </w:t>
      </w:r>
      <w:r w:rsidR="00B1315B" w:rsidRPr="0042152F">
        <w:rPr>
          <w:rFonts w:ascii="Times New Roman" w:hAnsi="Times New Roman" w:cs="Times New Roman"/>
          <w:sz w:val="24"/>
          <w:szCs w:val="24"/>
        </w:rPr>
        <w:t xml:space="preserve">against the objection of </w:t>
      </w:r>
      <w:r w:rsidR="007B7C46" w:rsidRPr="0042152F">
        <w:rPr>
          <w:rFonts w:ascii="Times New Roman" w:hAnsi="Times New Roman" w:cs="Times New Roman"/>
          <w:sz w:val="24"/>
          <w:szCs w:val="24"/>
        </w:rPr>
        <w:t>the minority</w:t>
      </w:r>
      <w:r w:rsidR="00FF30B9" w:rsidRPr="0042152F">
        <w:rPr>
          <w:rFonts w:ascii="Times New Roman" w:hAnsi="Times New Roman" w:cs="Times New Roman"/>
          <w:sz w:val="24"/>
          <w:szCs w:val="24"/>
        </w:rPr>
        <w:t xml:space="preserve"> shareholders</w:t>
      </w:r>
      <w:r w:rsidR="007B7C46" w:rsidRPr="0042152F">
        <w:rPr>
          <w:rFonts w:ascii="Times New Roman" w:hAnsi="Times New Roman" w:cs="Times New Roman"/>
          <w:sz w:val="24"/>
          <w:szCs w:val="24"/>
        </w:rPr>
        <w:t>,</w:t>
      </w:r>
      <w:r w:rsidR="007B7C46" w:rsidRPr="0042152F">
        <w:rPr>
          <w:rStyle w:val="FootnoteReference"/>
          <w:rFonts w:ascii="Times New Roman" w:hAnsi="Times New Roman" w:cs="Times New Roman"/>
          <w:sz w:val="24"/>
          <w:szCs w:val="24"/>
        </w:rPr>
        <w:footnoteReference w:id="69"/>
      </w:r>
      <w:r w:rsidR="007B7C46" w:rsidRPr="0042152F">
        <w:rPr>
          <w:rFonts w:ascii="Times New Roman" w:hAnsi="Times New Roman" w:cs="Times New Roman"/>
          <w:sz w:val="24"/>
          <w:szCs w:val="24"/>
        </w:rPr>
        <w:t xml:space="preserve"> </w:t>
      </w:r>
      <w:r w:rsidR="002F2FC3">
        <w:rPr>
          <w:rFonts w:ascii="Times New Roman" w:hAnsi="Times New Roman" w:cs="Times New Roman"/>
          <w:sz w:val="24"/>
          <w:szCs w:val="24"/>
          <w:lang w:bidi="he-IL"/>
        </w:rPr>
        <w:t xml:space="preserve">who could </w:t>
      </w:r>
      <w:r w:rsidR="00495BF7">
        <w:rPr>
          <w:rFonts w:ascii="Times New Roman" w:hAnsi="Times New Roman" w:cs="Times New Roman"/>
          <w:sz w:val="24"/>
          <w:szCs w:val="24"/>
          <w:lang w:bidi="he-IL"/>
        </w:rPr>
        <w:t xml:space="preserve">then </w:t>
      </w:r>
      <w:r w:rsidR="002F2FC3">
        <w:rPr>
          <w:rFonts w:ascii="Times New Roman" w:hAnsi="Times New Roman" w:cs="Times New Roman"/>
          <w:sz w:val="24"/>
          <w:szCs w:val="24"/>
          <w:lang w:bidi="he-IL"/>
        </w:rPr>
        <w:t xml:space="preserve">file a lawsuit and </w:t>
      </w:r>
      <w:r w:rsidR="00E52687">
        <w:rPr>
          <w:rFonts w:ascii="Times New Roman" w:hAnsi="Times New Roman" w:cs="Times New Roman"/>
          <w:sz w:val="24"/>
          <w:szCs w:val="24"/>
          <w:lang w:bidi="he-IL"/>
        </w:rPr>
        <w:t xml:space="preserve">ask the court to </w:t>
      </w:r>
      <w:r w:rsidR="00495BF7">
        <w:rPr>
          <w:rFonts w:ascii="Times New Roman" w:hAnsi="Times New Roman" w:cs="Times New Roman"/>
          <w:sz w:val="24"/>
          <w:szCs w:val="24"/>
          <w:lang w:bidi="he-IL"/>
        </w:rPr>
        <w:t>evaluate the transaction’s</w:t>
      </w:r>
      <w:r w:rsidR="007B7C46" w:rsidRPr="0042152F">
        <w:rPr>
          <w:rFonts w:ascii="Times New Roman" w:hAnsi="Times New Roman" w:cs="Times New Roman"/>
          <w:sz w:val="24"/>
          <w:szCs w:val="24"/>
        </w:rPr>
        <w:t xml:space="preserve"> fairness.</w:t>
      </w:r>
      <w:r w:rsidR="007B7C46" w:rsidRPr="0042152F">
        <w:rPr>
          <w:rStyle w:val="FootnoteReference"/>
          <w:rFonts w:ascii="Times New Roman" w:hAnsi="Times New Roman" w:cs="Times New Roman"/>
          <w:sz w:val="24"/>
          <w:szCs w:val="24"/>
        </w:rPr>
        <w:footnoteReference w:id="70"/>
      </w:r>
      <w:r w:rsidR="007B7C46" w:rsidRPr="0042152F">
        <w:rPr>
          <w:rFonts w:ascii="Times New Roman" w:hAnsi="Times New Roman" w:cs="Times New Roman"/>
          <w:sz w:val="24"/>
          <w:szCs w:val="24"/>
        </w:rPr>
        <w:t xml:space="preserve"> </w:t>
      </w:r>
    </w:p>
    <w:p w14:paraId="6255AC4F" w14:textId="5DF05D65" w:rsidR="007A7D38" w:rsidRPr="001161DB" w:rsidRDefault="00824D31"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42152F">
        <w:rPr>
          <w:rFonts w:ascii="Times New Roman" w:hAnsi="Times New Roman" w:cs="Times New Roman"/>
          <w:sz w:val="24"/>
          <w:szCs w:val="24"/>
        </w:rPr>
        <w:t>he courts’ willingness</w:t>
      </w:r>
      <w:r>
        <w:rPr>
          <w:rFonts w:ascii="Times New Roman" w:hAnsi="Times New Roman" w:cs="Times New Roman"/>
          <w:sz w:val="24"/>
          <w:szCs w:val="24"/>
        </w:rPr>
        <w:t xml:space="preserve"> and</w:t>
      </w:r>
      <w:r w:rsidR="00066E01">
        <w:rPr>
          <w:rFonts w:ascii="Times New Roman" w:hAnsi="Times New Roman" w:cs="Times New Roman"/>
          <w:sz w:val="24"/>
          <w:szCs w:val="24"/>
        </w:rPr>
        <w:t xml:space="preserve"> ability to determine the fairness of a disputed transaction</w:t>
      </w:r>
      <w:r w:rsidR="0003329B">
        <w:rPr>
          <w:rFonts w:ascii="Times New Roman" w:hAnsi="Times New Roman" w:cs="Times New Roman"/>
          <w:sz w:val="24"/>
          <w:szCs w:val="24"/>
        </w:rPr>
        <w:t>’s process and price</w:t>
      </w:r>
      <w:r w:rsidR="00066E01">
        <w:rPr>
          <w:rFonts w:ascii="Times New Roman" w:hAnsi="Times New Roman" w:cs="Times New Roman"/>
          <w:sz w:val="24"/>
          <w:szCs w:val="24"/>
        </w:rPr>
        <w:t xml:space="preserve"> is thus a central component to entire fairness review.</w:t>
      </w:r>
      <w:r w:rsidRPr="0042152F">
        <w:rPr>
          <w:rStyle w:val="FootnoteReference"/>
          <w:rFonts w:ascii="Times New Roman" w:hAnsi="Times New Roman" w:cs="Times New Roman"/>
          <w:sz w:val="24"/>
          <w:szCs w:val="24"/>
        </w:rPr>
        <w:footnoteReference w:id="71"/>
      </w:r>
      <w:r w:rsidR="00066E01">
        <w:rPr>
          <w:rFonts w:ascii="Times New Roman" w:hAnsi="Times New Roman" w:cs="Times New Roman"/>
          <w:sz w:val="24"/>
          <w:szCs w:val="24"/>
        </w:rPr>
        <w:t xml:space="preserve"> </w:t>
      </w:r>
      <w:r w:rsidR="006C0F80">
        <w:rPr>
          <w:rFonts w:ascii="Times New Roman" w:hAnsi="Times New Roman" w:cs="Times New Roman"/>
          <w:sz w:val="24"/>
          <w:szCs w:val="24"/>
        </w:rPr>
        <w:t>To assess fair price, judges must evaluate whether the price paid in a transaction for the company or its assets was fair to minority shareholders.</w:t>
      </w:r>
      <w:r w:rsidR="007B7C46" w:rsidRPr="001161DB">
        <w:rPr>
          <w:rStyle w:val="FootnoteReference"/>
          <w:rFonts w:ascii="Times New Roman" w:hAnsi="Times New Roman" w:cs="Times New Roman"/>
          <w:sz w:val="24"/>
          <w:szCs w:val="24"/>
        </w:rPr>
        <w:footnoteReference w:id="72"/>
      </w:r>
      <w:r w:rsidR="007B7C46" w:rsidRPr="001161DB">
        <w:rPr>
          <w:rFonts w:ascii="Times New Roman" w:hAnsi="Times New Roman" w:cs="Times New Roman"/>
          <w:sz w:val="24"/>
          <w:szCs w:val="24"/>
        </w:rPr>
        <w:t xml:space="preserve"> </w:t>
      </w:r>
      <w:r w:rsidR="00A67F37">
        <w:rPr>
          <w:rFonts w:ascii="Times New Roman" w:hAnsi="Times New Roman" w:cs="Times New Roman"/>
          <w:sz w:val="24"/>
          <w:szCs w:val="24"/>
        </w:rPr>
        <w:t>Courts often turn to asset-pricing models to aid their analysis,</w:t>
      </w:r>
      <w:r w:rsidR="007B7C46" w:rsidRPr="001161DB">
        <w:rPr>
          <w:rStyle w:val="FootnoteReference"/>
          <w:rFonts w:ascii="Times New Roman" w:hAnsi="Times New Roman" w:cs="Times New Roman"/>
          <w:sz w:val="24"/>
          <w:szCs w:val="24"/>
        </w:rPr>
        <w:footnoteReference w:id="73"/>
      </w:r>
      <w:r w:rsidR="007B7C46" w:rsidRPr="001161DB">
        <w:rPr>
          <w:rFonts w:ascii="Times New Roman" w:hAnsi="Times New Roman" w:cs="Times New Roman"/>
          <w:sz w:val="24"/>
          <w:szCs w:val="24"/>
        </w:rPr>
        <w:t xml:space="preserve"> </w:t>
      </w:r>
      <w:r w:rsidR="00A67F37">
        <w:rPr>
          <w:rFonts w:ascii="Times New Roman" w:hAnsi="Times New Roman" w:cs="Times New Roman"/>
          <w:sz w:val="24"/>
          <w:szCs w:val="24"/>
        </w:rPr>
        <w:t xml:space="preserve">but using </w:t>
      </w:r>
      <w:r w:rsidR="00A67F37">
        <w:rPr>
          <w:rFonts w:ascii="Times New Roman" w:hAnsi="Times New Roman" w:cs="Times New Roman"/>
          <w:sz w:val="24"/>
          <w:szCs w:val="24"/>
        </w:rPr>
        <w:lastRenderedPageBreak/>
        <w:t>these models effectively</w:t>
      </w:r>
      <w:r w:rsidR="007B7C46" w:rsidRPr="001161DB">
        <w:rPr>
          <w:rFonts w:ascii="Times New Roman" w:hAnsi="Times New Roman" w:cs="Times New Roman"/>
          <w:sz w:val="24"/>
          <w:szCs w:val="24"/>
        </w:rPr>
        <w:t xml:space="preserve"> requires at least some understanding of financial theory.</w:t>
      </w:r>
      <w:r w:rsidR="00D84FBA" w:rsidRPr="001161DB">
        <w:rPr>
          <w:rStyle w:val="FootnoteReference"/>
          <w:rFonts w:ascii="Times New Roman" w:hAnsi="Times New Roman" w:cs="Times New Roman"/>
          <w:sz w:val="24"/>
          <w:szCs w:val="24"/>
        </w:rPr>
        <w:footnoteReference w:id="74"/>
      </w:r>
      <w:r w:rsidR="007B7C46" w:rsidRPr="001161DB">
        <w:rPr>
          <w:rFonts w:ascii="Times New Roman" w:hAnsi="Times New Roman" w:cs="Times New Roman"/>
          <w:sz w:val="24"/>
          <w:szCs w:val="24"/>
        </w:rPr>
        <w:t xml:space="preserve"> </w:t>
      </w:r>
      <w:r w:rsidR="00A67F37">
        <w:rPr>
          <w:rFonts w:ascii="Times New Roman" w:hAnsi="Times New Roman" w:cs="Times New Roman"/>
          <w:sz w:val="24"/>
          <w:szCs w:val="24"/>
        </w:rPr>
        <w:t>Delaware courts typically have the expertise necessary to understand valuation techniques</w:t>
      </w:r>
      <w:r w:rsidR="003A3A0E" w:rsidRPr="001161DB">
        <w:rPr>
          <w:rFonts w:ascii="Times New Roman" w:hAnsi="Times New Roman" w:cs="Times New Roman"/>
          <w:sz w:val="24"/>
          <w:szCs w:val="24"/>
        </w:rPr>
        <w:t>,</w:t>
      </w:r>
      <w:r w:rsidR="003A3A0E" w:rsidRPr="001161DB">
        <w:rPr>
          <w:rStyle w:val="FootnoteReference"/>
          <w:rFonts w:ascii="Times New Roman" w:hAnsi="Times New Roman" w:cs="Times New Roman"/>
          <w:sz w:val="24"/>
          <w:szCs w:val="24"/>
        </w:rPr>
        <w:footnoteReference w:id="75"/>
      </w:r>
      <w:r w:rsidR="003A3A0E" w:rsidRPr="001161DB">
        <w:rPr>
          <w:rFonts w:ascii="Times New Roman" w:hAnsi="Times New Roman" w:cs="Times New Roman"/>
          <w:sz w:val="24"/>
          <w:szCs w:val="24"/>
        </w:rPr>
        <w:t xml:space="preserve"> </w:t>
      </w:r>
      <w:r w:rsidR="00A67F37">
        <w:rPr>
          <w:rFonts w:ascii="Times New Roman" w:hAnsi="Times New Roman" w:cs="Times New Roman"/>
          <w:sz w:val="24"/>
          <w:szCs w:val="24"/>
        </w:rPr>
        <w:t xml:space="preserve">but even they encounter </w:t>
      </w:r>
      <w:r w:rsidR="003A3A0E" w:rsidRPr="001161DB">
        <w:rPr>
          <w:rFonts w:ascii="Times New Roman" w:hAnsi="Times New Roman" w:cs="Times New Roman"/>
          <w:sz w:val="24"/>
          <w:szCs w:val="24"/>
        </w:rPr>
        <w:t>challenges</w:t>
      </w:r>
      <w:r w:rsidR="006728AF" w:rsidRPr="001161DB">
        <w:rPr>
          <w:rFonts w:ascii="Times New Roman" w:hAnsi="Times New Roman" w:cs="Times New Roman"/>
          <w:sz w:val="24"/>
          <w:szCs w:val="24"/>
        </w:rPr>
        <w:t xml:space="preserve"> when conduct</w:t>
      </w:r>
      <w:r w:rsidR="00A67F37">
        <w:rPr>
          <w:rFonts w:ascii="Times New Roman" w:hAnsi="Times New Roman" w:cs="Times New Roman"/>
          <w:sz w:val="24"/>
          <w:szCs w:val="24"/>
        </w:rPr>
        <w:t>ing</w:t>
      </w:r>
      <w:r w:rsidR="006728AF" w:rsidRPr="001161DB">
        <w:rPr>
          <w:rFonts w:ascii="Times New Roman" w:hAnsi="Times New Roman" w:cs="Times New Roman"/>
          <w:sz w:val="24"/>
          <w:szCs w:val="24"/>
        </w:rPr>
        <w:t xml:space="preserve"> their own independent valuation.</w:t>
      </w:r>
      <w:r w:rsidR="00E50EAF" w:rsidRPr="001161DB">
        <w:rPr>
          <w:rStyle w:val="FootnoteReference"/>
          <w:rFonts w:ascii="Times New Roman" w:hAnsi="Times New Roman" w:cs="Times New Roman"/>
          <w:sz w:val="24"/>
          <w:szCs w:val="24"/>
        </w:rPr>
        <w:footnoteReference w:id="76"/>
      </w:r>
    </w:p>
    <w:p w14:paraId="202EF62C" w14:textId="3E049E48" w:rsidR="009539EA" w:rsidRPr="0042152F" w:rsidRDefault="007A7D38"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To </w:t>
      </w:r>
      <w:r w:rsidR="006728AF" w:rsidRPr="0042152F">
        <w:rPr>
          <w:rFonts w:ascii="Times New Roman" w:hAnsi="Times New Roman" w:cs="Times New Roman"/>
          <w:sz w:val="24"/>
          <w:szCs w:val="24"/>
        </w:rPr>
        <w:t>ameliorate</w:t>
      </w:r>
      <w:r w:rsidRPr="0042152F">
        <w:rPr>
          <w:rFonts w:ascii="Times New Roman" w:hAnsi="Times New Roman" w:cs="Times New Roman"/>
          <w:sz w:val="24"/>
          <w:szCs w:val="24"/>
        </w:rPr>
        <w:t xml:space="preserve"> these issues, </w:t>
      </w:r>
      <w:r w:rsidR="006728AF" w:rsidRPr="0042152F">
        <w:rPr>
          <w:rFonts w:ascii="Times New Roman" w:hAnsi="Times New Roman" w:cs="Times New Roman"/>
          <w:sz w:val="24"/>
          <w:szCs w:val="24"/>
        </w:rPr>
        <w:t xml:space="preserve">Delaware </w:t>
      </w:r>
      <w:r w:rsidRPr="0042152F">
        <w:rPr>
          <w:rFonts w:ascii="Times New Roman" w:hAnsi="Times New Roman" w:cs="Times New Roman"/>
          <w:sz w:val="24"/>
          <w:szCs w:val="24"/>
        </w:rPr>
        <w:t xml:space="preserve">courts will </w:t>
      </w:r>
      <w:r w:rsidR="006728AF" w:rsidRPr="0042152F">
        <w:rPr>
          <w:rFonts w:ascii="Times New Roman" w:hAnsi="Times New Roman" w:cs="Times New Roman"/>
          <w:sz w:val="24"/>
          <w:szCs w:val="24"/>
        </w:rPr>
        <w:t>generally</w:t>
      </w:r>
      <w:r w:rsidRPr="0042152F">
        <w:rPr>
          <w:rFonts w:ascii="Times New Roman" w:hAnsi="Times New Roman" w:cs="Times New Roman"/>
          <w:sz w:val="24"/>
          <w:szCs w:val="24"/>
        </w:rPr>
        <w:t xml:space="preserve"> limit their analysis to </w:t>
      </w:r>
      <w:r w:rsidR="004E59D2" w:rsidRPr="0042152F">
        <w:rPr>
          <w:rFonts w:ascii="Times New Roman" w:hAnsi="Times New Roman" w:cs="Times New Roman"/>
          <w:sz w:val="24"/>
          <w:szCs w:val="24"/>
        </w:rPr>
        <w:t>reviewing</w:t>
      </w:r>
      <w:r w:rsidRPr="0042152F">
        <w:rPr>
          <w:rFonts w:ascii="Times New Roman" w:hAnsi="Times New Roman" w:cs="Times New Roman"/>
          <w:sz w:val="24"/>
          <w:szCs w:val="24"/>
        </w:rPr>
        <w:t xml:space="preserve"> the valuation methods offered by the parties or the inputs that were used. </w:t>
      </w:r>
      <w:r w:rsidR="002E1F87" w:rsidRPr="0042152F">
        <w:rPr>
          <w:rFonts w:ascii="Times New Roman" w:hAnsi="Times New Roman" w:cs="Times New Roman"/>
          <w:sz w:val="24"/>
          <w:szCs w:val="24"/>
        </w:rPr>
        <w:t>Typically, in such cases, the court will examine the reports prepared by third-party valuation experts</w:t>
      </w:r>
      <w:r w:rsidR="006728AF" w:rsidRPr="0042152F">
        <w:rPr>
          <w:rFonts w:ascii="Times New Roman" w:hAnsi="Times New Roman" w:cs="Times New Roman"/>
          <w:sz w:val="24"/>
          <w:szCs w:val="24"/>
        </w:rPr>
        <w:t xml:space="preserve"> (who often disagree quite substantially</w:t>
      </w:r>
      <w:r w:rsidR="006728AF" w:rsidRPr="0042152F">
        <w:rPr>
          <w:rStyle w:val="FootnoteReference"/>
          <w:rFonts w:ascii="Times New Roman" w:hAnsi="Times New Roman" w:cs="Times New Roman"/>
          <w:sz w:val="24"/>
          <w:szCs w:val="24"/>
        </w:rPr>
        <w:footnoteReference w:id="77"/>
      </w:r>
      <w:r w:rsidR="006728AF" w:rsidRPr="0042152F">
        <w:rPr>
          <w:rFonts w:ascii="Times New Roman" w:hAnsi="Times New Roman" w:cs="Times New Roman"/>
          <w:sz w:val="24"/>
          <w:szCs w:val="24"/>
        </w:rPr>
        <w:t>)</w:t>
      </w:r>
      <w:r w:rsidR="003D5A5A" w:rsidRPr="0042152F">
        <w:rPr>
          <w:rFonts w:ascii="Times New Roman" w:hAnsi="Times New Roman" w:cs="Times New Roman"/>
          <w:sz w:val="24"/>
          <w:szCs w:val="24"/>
        </w:rPr>
        <w:t xml:space="preserve"> </w:t>
      </w:r>
      <w:r w:rsidR="005A115C" w:rsidRPr="0042152F">
        <w:rPr>
          <w:rFonts w:ascii="Times New Roman" w:hAnsi="Times New Roman" w:cs="Times New Roman"/>
          <w:sz w:val="24"/>
          <w:szCs w:val="24"/>
        </w:rPr>
        <w:t xml:space="preserve">and </w:t>
      </w:r>
      <w:r w:rsidR="002E1F87" w:rsidRPr="0042152F">
        <w:rPr>
          <w:rFonts w:ascii="Times New Roman" w:hAnsi="Times New Roman" w:cs="Times New Roman"/>
          <w:sz w:val="24"/>
          <w:szCs w:val="24"/>
        </w:rPr>
        <w:t xml:space="preserve">by the </w:t>
      </w:r>
      <w:r w:rsidR="0068614C">
        <w:rPr>
          <w:rFonts w:ascii="Times New Roman" w:hAnsi="Times New Roman" w:cs="Times New Roman"/>
          <w:sz w:val="24"/>
          <w:szCs w:val="24"/>
        </w:rPr>
        <w:t xml:space="preserve">independent directors </w:t>
      </w:r>
      <w:r w:rsidR="002E1F87" w:rsidRPr="0042152F">
        <w:rPr>
          <w:rFonts w:ascii="Times New Roman" w:hAnsi="Times New Roman" w:cs="Times New Roman"/>
          <w:sz w:val="24"/>
          <w:szCs w:val="24"/>
        </w:rPr>
        <w:t>charged with negotiating the transaction at issue.</w:t>
      </w:r>
      <w:r w:rsidR="002E1F87" w:rsidRPr="0042152F">
        <w:rPr>
          <w:rStyle w:val="FootnoteReference"/>
          <w:rFonts w:ascii="Times New Roman" w:hAnsi="Times New Roman" w:cs="Times New Roman"/>
          <w:sz w:val="24"/>
          <w:szCs w:val="24"/>
        </w:rPr>
        <w:footnoteReference w:id="78"/>
      </w:r>
      <w:r w:rsidR="006728AF" w:rsidRPr="0042152F">
        <w:rPr>
          <w:rFonts w:ascii="Times New Roman" w:hAnsi="Times New Roman" w:cs="Times New Roman"/>
          <w:sz w:val="24"/>
          <w:szCs w:val="24"/>
        </w:rPr>
        <w:t xml:space="preserve"> As part of its review, the court will consider arguments from each side about the value of the assets </w:t>
      </w:r>
      <w:r w:rsidR="003F3DE9" w:rsidRPr="0042152F">
        <w:rPr>
          <w:rFonts w:ascii="Times New Roman" w:hAnsi="Times New Roman" w:cs="Times New Roman"/>
          <w:sz w:val="24"/>
          <w:szCs w:val="24"/>
        </w:rPr>
        <w:t>via different methodologies</w:t>
      </w:r>
      <w:r w:rsidR="009539EA" w:rsidRPr="0042152F">
        <w:rPr>
          <w:rFonts w:ascii="Times New Roman" w:hAnsi="Times New Roman" w:cs="Times New Roman"/>
          <w:sz w:val="24"/>
          <w:szCs w:val="24"/>
        </w:rPr>
        <w:t xml:space="preserve"> chosen by the parties</w:t>
      </w:r>
      <w:r w:rsidR="003F3DE9" w:rsidRPr="0042152F">
        <w:rPr>
          <w:rFonts w:ascii="Times New Roman" w:hAnsi="Times New Roman" w:cs="Times New Roman"/>
          <w:sz w:val="24"/>
          <w:szCs w:val="24"/>
        </w:rPr>
        <w:t xml:space="preserve">. Under </w:t>
      </w:r>
      <w:r w:rsidR="007809F1" w:rsidRPr="0042152F">
        <w:rPr>
          <w:rFonts w:ascii="Times New Roman" w:hAnsi="Times New Roman" w:cs="Times New Roman"/>
          <w:sz w:val="24"/>
          <w:szCs w:val="24"/>
        </w:rPr>
        <w:t xml:space="preserve">one of </w:t>
      </w:r>
      <w:r w:rsidR="00931A27" w:rsidRPr="0042152F">
        <w:rPr>
          <w:rFonts w:ascii="Times New Roman" w:hAnsi="Times New Roman" w:cs="Times New Roman"/>
          <w:sz w:val="24"/>
          <w:szCs w:val="24"/>
        </w:rPr>
        <w:t>the most commonly used</w:t>
      </w:r>
      <w:r w:rsidR="007809F1" w:rsidRPr="0042152F">
        <w:rPr>
          <w:rFonts w:ascii="Times New Roman" w:hAnsi="Times New Roman" w:cs="Times New Roman"/>
          <w:sz w:val="24"/>
          <w:szCs w:val="24"/>
        </w:rPr>
        <w:t xml:space="preserve"> methods, the</w:t>
      </w:r>
      <w:r w:rsidR="00931A27" w:rsidRPr="0042152F">
        <w:rPr>
          <w:rFonts w:ascii="Times New Roman" w:hAnsi="Times New Roman" w:cs="Times New Roman"/>
          <w:sz w:val="24"/>
          <w:szCs w:val="24"/>
        </w:rPr>
        <w:t xml:space="preserve"> </w:t>
      </w:r>
      <w:r w:rsidR="003D5A5A" w:rsidRPr="0042152F">
        <w:rPr>
          <w:rFonts w:ascii="Times New Roman" w:hAnsi="Times New Roman" w:cs="Times New Roman"/>
          <w:sz w:val="24"/>
          <w:szCs w:val="24"/>
        </w:rPr>
        <w:t xml:space="preserve">Discounted Cash Flow (“DCF”) </w:t>
      </w:r>
      <w:r w:rsidR="003F3DE9" w:rsidRPr="0042152F">
        <w:rPr>
          <w:rFonts w:ascii="Times New Roman" w:hAnsi="Times New Roman" w:cs="Times New Roman"/>
          <w:sz w:val="24"/>
          <w:szCs w:val="24"/>
        </w:rPr>
        <w:t xml:space="preserve">analysis, the court </w:t>
      </w:r>
      <w:r w:rsidR="00FF30B9" w:rsidRPr="0042152F">
        <w:rPr>
          <w:rFonts w:ascii="Times New Roman" w:hAnsi="Times New Roman" w:cs="Times New Roman"/>
          <w:sz w:val="24"/>
          <w:szCs w:val="24"/>
        </w:rPr>
        <w:t xml:space="preserve">will </w:t>
      </w:r>
      <w:r w:rsidR="003F3DE9" w:rsidRPr="0042152F">
        <w:rPr>
          <w:rFonts w:ascii="Times New Roman" w:hAnsi="Times New Roman" w:cs="Times New Roman"/>
          <w:sz w:val="24"/>
          <w:szCs w:val="24"/>
        </w:rPr>
        <w:t>consider</w:t>
      </w:r>
      <w:r w:rsidR="005A115C" w:rsidRPr="0042152F">
        <w:rPr>
          <w:rFonts w:ascii="Times New Roman" w:hAnsi="Times New Roman" w:cs="Times New Roman"/>
          <w:sz w:val="24"/>
          <w:szCs w:val="24"/>
        </w:rPr>
        <w:t xml:space="preserve"> whether </w:t>
      </w:r>
      <w:r w:rsidR="0062238C">
        <w:rPr>
          <w:rFonts w:ascii="Times New Roman" w:hAnsi="Times New Roman" w:cs="Times New Roman"/>
          <w:sz w:val="24"/>
          <w:szCs w:val="24"/>
        </w:rPr>
        <w:t>projections</w:t>
      </w:r>
      <w:r w:rsidR="005A115C" w:rsidRPr="0042152F">
        <w:rPr>
          <w:rFonts w:ascii="Times New Roman" w:hAnsi="Times New Roman" w:cs="Times New Roman"/>
          <w:sz w:val="24"/>
          <w:szCs w:val="24"/>
        </w:rPr>
        <w:t xml:space="preserve"> of </w:t>
      </w:r>
      <w:r w:rsidR="00931A27" w:rsidRPr="0042152F">
        <w:rPr>
          <w:rFonts w:ascii="Times New Roman" w:hAnsi="Times New Roman" w:cs="Times New Roman"/>
          <w:sz w:val="24"/>
          <w:szCs w:val="24"/>
        </w:rPr>
        <w:t xml:space="preserve">future </w:t>
      </w:r>
      <w:r w:rsidR="005A115C" w:rsidRPr="0042152F">
        <w:rPr>
          <w:rFonts w:ascii="Times New Roman" w:hAnsi="Times New Roman" w:cs="Times New Roman"/>
          <w:sz w:val="24"/>
          <w:szCs w:val="24"/>
        </w:rPr>
        <w:t>cash</w:t>
      </w:r>
      <w:r w:rsidR="0062238C">
        <w:rPr>
          <w:rFonts w:ascii="Times New Roman" w:hAnsi="Times New Roman" w:cs="Times New Roman"/>
          <w:sz w:val="24"/>
          <w:szCs w:val="24"/>
        </w:rPr>
        <w:t>-</w:t>
      </w:r>
      <w:r w:rsidR="005A115C" w:rsidRPr="0042152F">
        <w:rPr>
          <w:rFonts w:ascii="Times New Roman" w:hAnsi="Times New Roman" w:cs="Times New Roman"/>
          <w:sz w:val="24"/>
          <w:szCs w:val="24"/>
        </w:rPr>
        <w:t xml:space="preserve">flows and </w:t>
      </w:r>
      <w:r w:rsidR="00931A27" w:rsidRPr="0042152F">
        <w:rPr>
          <w:rFonts w:ascii="Times New Roman" w:hAnsi="Times New Roman" w:cs="Times New Roman"/>
          <w:sz w:val="24"/>
          <w:szCs w:val="24"/>
        </w:rPr>
        <w:t xml:space="preserve">the </w:t>
      </w:r>
      <w:r w:rsidR="00FD1E9B" w:rsidRPr="0042152F">
        <w:rPr>
          <w:rFonts w:ascii="Times New Roman" w:hAnsi="Times New Roman" w:cs="Times New Roman"/>
          <w:sz w:val="24"/>
          <w:szCs w:val="24"/>
        </w:rPr>
        <w:t xml:space="preserve">estimates of the </w:t>
      </w:r>
      <w:r w:rsidR="00931A27" w:rsidRPr="0042152F">
        <w:rPr>
          <w:rFonts w:ascii="Times New Roman" w:hAnsi="Times New Roman" w:cs="Times New Roman"/>
          <w:sz w:val="24"/>
          <w:szCs w:val="24"/>
        </w:rPr>
        <w:t xml:space="preserve">business risk associated with </w:t>
      </w:r>
      <w:r w:rsidR="00FD1E9B" w:rsidRPr="0042152F">
        <w:rPr>
          <w:rFonts w:ascii="Times New Roman" w:hAnsi="Times New Roman" w:cs="Times New Roman"/>
          <w:sz w:val="24"/>
          <w:szCs w:val="24"/>
        </w:rPr>
        <w:t>generating those cash</w:t>
      </w:r>
      <w:r w:rsidR="0062238C">
        <w:rPr>
          <w:rFonts w:ascii="Times New Roman" w:hAnsi="Times New Roman" w:cs="Times New Roman"/>
          <w:sz w:val="24"/>
          <w:szCs w:val="24"/>
        </w:rPr>
        <w:t>-</w:t>
      </w:r>
      <w:r w:rsidR="00FD1E9B" w:rsidRPr="0042152F">
        <w:rPr>
          <w:rFonts w:ascii="Times New Roman" w:hAnsi="Times New Roman" w:cs="Times New Roman"/>
          <w:sz w:val="24"/>
          <w:szCs w:val="24"/>
        </w:rPr>
        <w:t>flows</w:t>
      </w:r>
      <w:r w:rsidR="005A115C" w:rsidRPr="0042152F">
        <w:rPr>
          <w:rFonts w:ascii="Times New Roman" w:hAnsi="Times New Roman" w:cs="Times New Roman"/>
          <w:sz w:val="24"/>
          <w:szCs w:val="24"/>
        </w:rPr>
        <w:t xml:space="preserve"> favor the plaintiffs or the defendants.</w:t>
      </w:r>
      <w:r w:rsidR="005A115C" w:rsidRPr="0042152F">
        <w:rPr>
          <w:rStyle w:val="FootnoteReference"/>
          <w:rFonts w:ascii="Times New Roman" w:hAnsi="Times New Roman" w:cs="Times New Roman"/>
          <w:sz w:val="24"/>
          <w:szCs w:val="24"/>
        </w:rPr>
        <w:footnoteReference w:id="79"/>
      </w:r>
      <w:r w:rsidR="005A115C" w:rsidRPr="0042152F">
        <w:rPr>
          <w:rFonts w:ascii="Times New Roman" w:hAnsi="Times New Roman" w:cs="Times New Roman"/>
          <w:sz w:val="24"/>
          <w:szCs w:val="24"/>
        </w:rPr>
        <w:t xml:space="preserve"> </w:t>
      </w:r>
      <w:r w:rsidR="00931A27" w:rsidRPr="0042152F">
        <w:rPr>
          <w:rFonts w:ascii="Times New Roman" w:hAnsi="Times New Roman" w:cs="Times New Roman"/>
          <w:sz w:val="24"/>
          <w:szCs w:val="24"/>
        </w:rPr>
        <w:t>Similarly</w:t>
      </w:r>
      <w:r w:rsidR="003F3DE9" w:rsidRPr="0042152F">
        <w:rPr>
          <w:rFonts w:ascii="Times New Roman" w:hAnsi="Times New Roman" w:cs="Times New Roman"/>
          <w:sz w:val="24"/>
          <w:szCs w:val="24"/>
        </w:rPr>
        <w:t xml:space="preserve">, under a comparable companies analysis, the court will consider arguments about the company’s value relative to its peers, </w:t>
      </w:r>
      <w:r w:rsidR="00FD1E9B" w:rsidRPr="0042152F">
        <w:rPr>
          <w:rFonts w:ascii="Times New Roman" w:hAnsi="Times New Roman" w:cs="Times New Roman"/>
          <w:sz w:val="24"/>
          <w:szCs w:val="24"/>
        </w:rPr>
        <w:t>comparing relative</w:t>
      </w:r>
      <w:r w:rsidR="003F3DE9" w:rsidRPr="0042152F">
        <w:rPr>
          <w:rFonts w:ascii="Times New Roman" w:hAnsi="Times New Roman" w:cs="Times New Roman"/>
          <w:sz w:val="24"/>
          <w:szCs w:val="24"/>
        </w:rPr>
        <w:t xml:space="preserve"> multiples such as the company’s price/earnings ratio </w:t>
      </w:r>
      <w:r w:rsidR="00522194" w:rsidRPr="0042152F">
        <w:rPr>
          <w:rFonts w:ascii="Times New Roman" w:hAnsi="Times New Roman" w:cs="Times New Roman"/>
          <w:sz w:val="24"/>
          <w:szCs w:val="24"/>
        </w:rPr>
        <w:t xml:space="preserve">as </w:t>
      </w:r>
      <w:r w:rsidR="003F3DE9" w:rsidRPr="0042152F">
        <w:rPr>
          <w:rFonts w:ascii="Times New Roman" w:hAnsi="Times New Roman" w:cs="Times New Roman"/>
          <w:sz w:val="24"/>
          <w:szCs w:val="24"/>
        </w:rPr>
        <w:t>estimate</w:t>
      </w:r>
      <w:r w:rsidR="00522194" w:rsidRPr="0042152F">
        <w:rPr>
          <w:rFonts w:ascii="Times New Roman" w:hAnsi="Times New Roman" w:cs="Times New Roman"/>
          <w:sz w:val="24"/>
          <w:szCs w:val="24"/>
        </w:rPr>
        <w:t>s of</w:t>
      </w:r>
      <w:r w:rsidR="003F3DE9" w:rsidRPr="0042152F">
        <w:rPr>
          <w:rFonts w:ascii="Times New Roman" w:hAnsi="Times New Roman" w:cs="Times New Roman"/>
          <w:sz w:val="24"/>
          <w:szCs w:val="24"/>
        </w:rPr>
        <w:t xml:space="preserve"> value.</w:t>
      </w:r>
      <w:r w:rsidR="003F3DE9" w:rsidRPr="0042152F">
        <w:rPr>
          <w:rStyle w:val="FootnoteReference"/>
          <w:rFonts w:ascii="Times New Roman" w:hAnsi="Times New Roman" w:cs="Times New Roman"/>
          <w:sz w:val="24"/>
          <w:szCs w:val="24"/>
        </w:rPr>
        <w:footnoteReference w:id="80"/>
      </w:r>
      <w:r w:rsidR="003F3DE9" w:rsidRPr="0042152F">
        <w:rPr>
          <w:rFonts w:ascii="Times New Roman" w:hAnsi="Times New Roman" w:cs="Times New Roman"/>
          <w:sz w:val="24"/>
          <w:szCs w:val="24"/>
        </w:rPr>
        <w:t xml:space="preserve"> </w:t>
      </w:r>
      <w:r w:rsidR="00FD1E9B" w:rsidRPr="0042152F">
        <w:rPr>
          <w:rFonts w:ascii="Times New Roman" w:hAnsi="Times New Roman" w:cs="Times New Roman"/>
          <w:sz w:val="24"/>
          <w:szCs w:val="24"/>
        </w:rPr>
        <w:t>T</w:t>
      </w:r>
      <w:r w:rsidR="009539EA" w:rsidRPr="0042152F">
        <w:rPr>
          <w:rFonts w:ascii="Times New Roman" w:hAnsi="Times New Roman" w:cs="Times New Roman"/>
          <w:sz w:val="24"/>
          <w:szCs w:val="24"/>
        </w:rPr>
        <w:t xml:space="preserve">hese methodologies </w:t>
      </w:r>
      <w:r w:rsidR="00C14660" w:rsidRPr="0042152F">
        <w:rPr>
          <w:rFonts w:ascii="Times New Roman" w:hAnsi="Times New Roman" w:cs="Times New Roman"/>
          <w:sz w:val="24"/>
          <w:szCs w:val="24"/>
        </w:rPr>
        <w:t>allow</w:t>
      </w:r>
      <w:r w:rsidR="009539EA" w:rsidRPr="0042152F">
        <w:rPr>
          <w:rFonts w:ascii="Times New Roman" w:hAnsi="Times New Roman" w:cs="Times New Roman"/>
          <w:sz w:val="24"/>
          <w:szCs w:val="24"/>
        </w:rPr>
        <w:t xml:space="preserve"> ample room for argument about the value of assets over time </w:t>
      </w:r>
      <w:r w:rsidR="009539EA" w:rsidRPr="0042152F">
        <w:rPr>
          <w:rFonts w:ascii="Times New Roman" w:hAnsi="Times New Roman" w:cs="Times New Roman"/>
          <w:sz w:val="24"/>
          <w:szCs w:val="24"/>
        </w:rPr>
        <w:lastRenderedPageBreak/>
        <w:t>(including the appropriate growth rate and discount rate), the types of companies that should constitute peers, the proper choice of trading multiples, and so on.</w:t>
      </w:r>
      <w:r w:rsidR="00BF2108" w:rsidRPr="0042152F">
        <w:rPr>
          <w:rFonts w:ascii="Times New Roman" w:hAnsi="Times New Roman" w:cs="Times New Roman"/>
          <w:sz w:val="24"/>
          <w:szCs w:val="24"/>
        </w:rPr>
        <w:t xml:space="preserve"> </w:t>
      </w:r>
    </w:p>
    <w:p w14:paraId="495E7EE5" w14:textId="01B5E4D3" w:rsidR="00B80396" w:rsidRPr="0042152F" w:rsidRDefault="00FD1E9B"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A</w:t>
      </w:r>
      <w:r w:rsidR="005A115C" w:rsidRPr="0042152F">
        <w:rPr>
          <w:rFonts w:ascii="Times New Roman" w:hAnsi="Times New Roman" w:cs="Times New Roman"/>
          <w:sz w:val="24"/>
          <w:szCs w:val="24"/>
        </w:rPr>
        <w:t>lthough th</w:t>
      </w:r>
      <w:r w:rsidR="009539EA" w:rsidRPr="0042152F">
        <w:rPr>
          <w:rFonts w:ascii="Times New Roman" w:hAnsi="Times New Roman" w:cs="Times New Roman"/>
          <w:sz w:val="24"/>
          <w:szCs w:val="24"/>
        </w:rPr>
        <w:t>e</w:t>
      </w:r>
      <w:r w:rsidR="005A115C" w:rsidRPr="0042152F">
        <w:rPr>
          <w:rFonts w:ascii="Times New Roman" w:hAnsi="Times New Roman" w:cs="Times New Roman"/>
          <w:sz w:val="24"/>
          <w:szCs w:val="24"/>
        </w:rPr>
        <w:t xml:space="preserve"> process</w:t>
      </w:r>
      <w:r w:rsidR="003F3DE9" w:rsidRPr="0042152F">
        <w:rPr>
          <w:rFonts w:ascii="Times New Roman" w:hAnsi="Times New Roman" w:cs="Times New Roman"/>
          <w:sz w:val="24"/>
          <w:szCs w:val="24"/>
        </w:rPr>
        <w:t xml:space="preserve"> of checking the work of others</w:t>
      </w:r>
      <w:r w:rsidR="005A115C" w:rsidRPr="0042152F">
        <w:rPr>
          <w:rFonts w:ascii="Times New Roman" w:hAnsi="Times New Roman" w:cs="Times New Roman"/>
          <w:sz w:val="24"/>
          <w:szCs w:val="24"/>
        </w:rPr>
        <w:t xml:space="preserve"> is perhaps more feasible for a law-trained judge, it is still challenging, especially when dueling experts offer vastly different analyses</w:t>
      </w:r>
      <w:r w:rsidR="003F3DE9" w:rsidRPr="0042152F">
        <w:rPr>
          <w:rFonts w:ascii="Times New Roman" w:hAnsi="Times New Roman" w:cs="Times New Roman"/>
          <w:sz w:val="24"/>
          <w:szCs w:val="24"/>
        </w:rPr>
        <w:t xml:space="preserve"> and conclusions</w:t>
      </w:r>
      <w:r w:rsidR="005A115C" w:rsidRPr="0042152F">
        <w:rPr>
          <w:rFonts w:ascii="Times New Roman" w:hAnsi="Times New Roman" w:cs="Times New Roman"/>
          <w:sz w:val="24"/>
          <w:szCs w:val="24"/>
        </w:rPr>
        <w:t>.</w:t>
      </w:r>
      <w:r w:rsidR="00BF2108" w:rsidRPr="0042152F">
        <w:rPr>
          <w:rStyle w:val="FootnoteReference"/>
          <w:rFonts w:ascii="Times New Roman" w:hAnsi="Times New Roman" w:cs="Times New Roman"/>
          <w:sz w:val="24"/>
          <w:szCs w:val="24"/>
        </w:rPr>
        <w:footnoteReference w:id="81"/>
      </w:r>
      <w:r w:rsidR="005A115C" w:rsidRPr="0042152F">
        <w:rPr>
          <w:rFonts w:ascii="Times New Roman" w:hAnsi="Times New Roman" w:cs="Times New Roman"/>
          <w:sz w:val="24"/>
          <w:szCs w:val="24"/>
        </w:rPr>
        <w:t xml:space="preserve"> </w:t>
      </w:r>
      <w:r w:rsidR="00070CE2" w:rsidRPr="0042152F">
        <w:rPr>
          <w:rFonts w:ascii="Times New Roman" w:hAnsi="Times New Roman" w:cs="Times New Roman"/>
          <w:sz w:val="24"/>
          <w:szCs w:val="24"/>
        </w:rPr>
        <w:t>Consider the expert valuation</w:t>
      </w:r>
      <w:r w:rsidR="00F924C4">
        <w:rPr>
          <w:rFonts w:ascii="Times New Roman" w:hAnsi="Times New Roman" w:cs="Times New Roman"/>
          <w:sz w:val="24"/>
          <w:szCs w:val="24"/>
        </w:rPr>
        <w:t xml:space="preserve">s </w:t>
      </w:r>
      <w:r w:rsidR="0003329B">
        <w:rPr>
          <w:rFonts w:ascii="Times New Roman" w:hAnsi="Times New Roman" w:cs="Times New Roman"/>
          <w:sz w:val="24"/>
          <w:szCs w:val="24"/>
        </w:rPr>
        <w:t>submitted</w:t>
      </w:r>
      <w:r w:rsidR="00F924C4">
        <w:rPr>
          <w:rFonts w:ascii="Times New Roman" w:hAnsi="Times New Roman" w:cs="Times New Roman"/>
          <w:sz w:val="24"/>
          <w:szCs w:val="24"/>
        </w:rPr>
        <w:t xml:space="preserve"> to</w:t>
      </w:r>
      <w:r w:rsidR="00254D2D" w:rsidRPr="0042152F">
        <w:rPr>
          <w:rFonts w:ascii="Times New Roman" w:hAnsi="Times New Roman" w:cs="Times New Roman"/>
          <w:sz w:val="24"/>
          <w:szCs w:val="24"/>
        </w:rPr>
        <w:t xml:space="preserve"> Vice Chancellor Last</w:t>
      </w:r>
      <w:r w:rsidR="00D6378E" w:rsidRPr="0042152F">
        <w:rPr>
          <w:rFonts w:ascii="Times New Roman" w:hAnsi="Times New Roman" w:cs="Times New Roman"/>
          <w:sz w:val="24"/>
          <w:szCs w:val="24"/>
        </w:rPr>
        <w:t>e</w:t>
      </w:r>
      <w:r w:rsidR="00254D2D" w:rsidRPr="0042152F">
        <w:rPr>
          <w:rFonts w:ascii="Times New Roman" w:hAnsi="Times New Roman" w:cs="Times New Roman"/>
          <w:sz w:val="24"/>
          <w:szCs w:val="24"/>
        </w:rPr>
        <w:t xml:space="preserve">r as part of his review of </w:t>
      </w:r>
      <w:r w:rsidR="00C14660" w:rsidRPr="0042152F">
        <w:rPr>
          <w:rFonts w:ascii="Times New Roman" w:hAnsi="Times New Roman" w:cs="Times New Roman"/>
          <w:sz w:val="24"/>
          <w:szCs w:val="24"/>
        </w:rPr>
        <w:t>a conflicted merger’s</w:t>
      </w:r>
      <w:r w:rsidR="00254D2D" w:rsidRPr="0042152F">
        <w:rPr>
          <w:rFonts w:ascii="Times New Roman" w:hAnsi="Times New Roman" w:cs="Times New Roman"/>
          <w:sz w:val="24"/>
          <w:szCs w:val="24"/>
        </w:rPr>
        <w:t xml:space="preserve"> fairness</w:t>
      </w:r>
      <w:r w:rsidR="009539EA" w:rsidRPr="0042152F">
        <w:rPr>
          <w:rFonts w:ascii="Times New Roman" w:hAnsi="Times New Roman" w:cs="Times New Roman"/>
          <w:sz w:val="24"/>
          <w:szCs w:val="24"/>
        </w:rPr>
        <w:t xml:space="preserve"> </w:t>
      </w:r>
      <w:r w:rsidR="00C14660" w:rsidRPr="0042152F">
        <w:rPr>
          <w:rFonts w:ascii="Times New Roman" w:hAnsi="Times New Roman" w:cs="Times New Roman"/>
          <w:sz w:val="24"/>
          <w:szCs w:val="24"/>
        </w:rPr>
        <w:t xml:space="preserve">in </w:t>
      </w:r>
      <w:r w:rsidR="007F79DC">
        <w:rPr>
          <w:rFonts w:ascii="Times New Roman" w:hAnsi="Times New Roman" w:cs="Times New Roman"/>
          <w:i/>
          <w:iCs/>
          <w:sz w:val="24"/>
          <w:szCs w:val="24"/>
        </w:rPr>
        <w:t>I</w:t>
      </w:r>
      <w:r w:rsidR="009539EA" w:rsidRPr="0042152F">
        <w:rPr>
          <w:rFonts w:ascii="Times New Roman" w:hAnsi="Times New Roman" w:cs="Times New Roman"/>
          <w:i/>
          <w:iCs/>
          <w:sz w:val="24"/>
          <w:szCs w:val="24"/>
        </w:rPr>
        <w:t>n Re Trados</w:t>
      </w:r>
      <w:r w:rsidR="00254D2D" w:rsidRPr="0042152F">
        <w:rPr>
          <w:rFonts w:ascii="Times New Roman" w:hAnsi="Times New Roman" w:cs="Times New Roman"/>
          <w:sz w:val="24"/>
          <w:szCs w:val="24"/>
        </w:rPr>
        <w:t>: “With the high end coming in more than eight times the low, the resulting dispersion was four times what Chancellor Allen famously described as a range that ‘a Texan might feel at home on.’”</w:t>
      </w:r>
      <w:r w:rsidR="00254D2D" w:rsidRPr="0042152F">
        <w:rPr>
          <w:rStyle w:val="FootnoteReference"/>
          <w:rFonts w:ascii="Times New Roman" w:hAnsi="Times New Roman" w:cs="Times New Roman"/>
          <w:sz w:val="24"/>
          <w:szCs w:val="24"/>
        </w:rPr>
        <w:footnoteReference w:id="82"/>
      </w:r>
      <w:r w:rsidR="00B80396" w:rsidRPr="0042152F">
        <w:rPr>
          <w:rFonts w:ascii="Times New Roman" w:hAnsi="Times New Roman" w:cs="Times New Roman"/>
          <w:sz w:val="24"/>
          <w:szCs w:val="24"/>
        </w:rPr>
        <w:t xml:space="preserve"> </w:t>
      </w:r>
    </w:p>
    <w:p w14:paraId="7C3BB494" w14:textId="709E4169" w:rsidR="00727AFB" w:rsidRDefault="0068614C"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024F3F" w:rsidRPr="0042152F">
        <w:rPr>
          <w:rFonts w:ascii="Times New Roman" w:hAnsi="Times New Roman" w:cs="Times New Roman"/>
          <w:sz w:val="24"/>
          <w:szCs w:val="24"/>
        </w:rPr>
        <w:t>udicial valuation also plays a role in the fair process analysis</w:t>
      </w:r>
      <w:r w:rsidR="009D358E" w:rsidRPr="0042152F">
        <w:rPr>
          <w:rFonts w:ascii="Times New Roman" w:hAnsi="Times New Roman" w:cs="Times New Roman"/>
          <w:sz w:val="24"/>
          <w:szCs w:val="24"/>
        </w:rPr>
        <w:t>. To evaluate fair dealing, the court looks at “how the purchase was initiated, negotiated, structured   and   the   manner   in   which   director   approval was obtained.”</w:t>
      </w:r>
      <w:bookmarkStart w:id="6" w:name="_Ref173231708"/>
      <w:r w:rsidR="009D358E" w:rsidRPr="0042152F">
        <w:rPr>
          <w:rStyle w:val="FootnoteReference"/>
          <w:rFonts w:ascii="Times New Roman" w:hAnsi="Times New Roman" w:cs="Times New Roman"/>
          <w:sz w:val="24"/>
          <w:szCs w:val="24"/>
        </w:rPr>
        <w:footnoteReference w:id="83"/>
      </w:r>
      <w:bookmarkEnd w:id="6"/>
      <w:r w:rsidR="009D358E" w:rsidRPr="0042152F">
        <w:rPr>
          <w:rFonts w:ascii="Times New Roman" w:hAnsi="Times New Roman" w:cs="Times New Roman"/>
          <w:sz w:val="24"/>
          <w:szCs w:val="24"/>
        </w:rPr>
        <w:t xml:space="preserve"> The gold standard is negotiation by independent directors at arm’s length, although “a finding of perfection is not sine qua non in an entire fairness analysis.</w:t>
      </w:r>
      <w:r w:rsidR="00652285" w:rsidRPr="0042152F">
        <w:rPr>
          <w:rFonts w:ascii="Times New Roman" w:hAnsi="Times New Roman" w:cs="Times New Roman"/>
          <w:sz w:val="24"/>
          <w:szCs w:val="24"/>
        </w:rPr>
        <w:t>”</w:t>
      </w:r>
      <w:r w:rsidR="00652285" w:rsidRPr="0042152F">
        <w:rPr>
          <w:rStyle w:val="FootnoteReference"/>
          <w:rFonts w:ascii="Times New Roman" w:hAnsi="Times New Roman" w:cs="Times New Roman"/>
          <w:sz w:val="24"/>
          <w:szCs w:val="24"/>
        </w:rPr>
        <w:footnoteReference w:id="84"/>
      </w:r>
      <w:r w:rsidR="00B80396" w:rsidRPr="0042152F">
        <w:rPr>
          <w:rStyle w:val="FootnoteReference"/>
          <w:rFonts w:ascii="Times New Roman" w:hAnsi="Times New Roman" w:cs="Times New Roman"/>
          <w:sz w:val="24"/>
          <w:szCs w:val="24"/>
        </w:rPr>
        <w:t xml:space="preserve"> </w:t>
      </w:r>
      <w:r w:rsidR="009D358E" w:rsidRPr="0042152F">
        <w:rPr>
          <w:rFonts w:ascii="Times New Roman" w:hAnsi="Times New Roman" w:cs="Times New Roman"/>
          <w:sz w:val="24"/>
          <w:szCs w:val="24"/>
        </w:rPr>
        <w:t>As such, courts evaluating</w:t>
      </w:r>
      <w:r w:rsidR="00D15FBE" w:rsidRPr="0042152F">
        <w:rPr>
          <w:rFonts w:ascii="Times New Roman" w:hAnsi="Times New Roman" w:cs="Times New Roman"/>
          <w:sz w:val="24"/>
          <w:szCs w:val="24"/>
        </w:rPr>
        <w:t xml:space="preserve"> imperfect</w:t>
      </w:r>
      <w:r w:rsidR="009D358E" w:rsidRPr="0042152F">
        <w:rPr>
          <w:rFonts w:ascii="Times New Roman" w:hAnsi="Times New Roman" w:cs="Times New Roman"/>
          <w:sz w:val="24"/>
          <w:szCs w:val="24"/>
        </w:rPr>
        <w:t xml:space="preserve"> facts </w:t>
      </w:r>
      <w:r w:rsidR="00733E44" w:rsidRPr="0042152F">
        <w:rPr>
          <w:rFonts w:ascii="Times New Roman" w:hAnsi="Times New Roman" w:cs="Times New Roman"/>
          <w:sz w:val="24"/>
          <w:szCs w:val="24"/>
        </w:rPr>
        <w:t>must</w:t>
      </w:r>
      <w:r w:rsidR="009D358E" w:rsidRPr="0042152F">
        <w:rPr>
          <w:rFonts w:ascii="Times New Roman" w:hAnsi="Times New Roman" w:cs="Times New Roman"/>
          <w:sz w:val="24"/>
          <w:szCs w:val="24"/>
        </w:rPr>
        <w:t xml:space="preserve"> consider </w:t>
      </w:r>
      <w:r w:rsidR="00AA3832">
        <w:rPr>
          <w:rFonts w:ascii="Times New Roman" w:hAnsi="Times New Roman" w:cs="Times New Roman"/>
          <w:sz w:val="24"/>
          <w:szCs w:val="24"/>
        </w:rPr>
        <w:t xml:space="preserve">whether </w:t>
      </w:r>
      <w:r w:rsidR="009D358E" w:rsidRPr="0042152F">
        <w:rPr>
          <w:rFonts w:ascii="Times New Roman" w:hAnsi="Times New Roman" w:cs="Times New Roman"/>
          <w:sz w:val="24"/>
          <w:szCs w:val="24"/>
        </w:rPr>
        <w:t xml:space="preserve">the bargaining process </w:t>
      </w:r>
      <w:r w:rsidR="00AA3832">
        <w:rPr>
          <w:rFonts w:ascii="Times New Roman" w:hAnsi="Times New Roman" w:cs="Times New Roman"/>
          <w:sz w:val="24"/>
          <w:szCs w:val="24"/>
        </w:rPr>
        <w:t>yielded a fair price</w:t>
      </w:r>
      <w:r w:rsidR="009D358E" w:rsidRPr="0042152F">
        <w:rPr>
          <w:rFonts w:ascii="Times New Roman" w:hAnsi="Times New Roman" w:cs="Times New Roman"/>
          <w:sz w:val="24"/>
          <w:szCs w:val="24"/>
        </w:rPr>
        <w:t>.</w:t>
      </w:r>
      <w:r w:rsidR="00727AFB">
        <w:rPr>
          <w:rFonts w:ascii="Times New Roman" w:hAnsi="Times New Roman" w:cs="Times New Roman"/>
          <w:sz w:val="24"/>
          <w:szCs w:val="24"/>
        </w:rPr>
        <w:t xml:space="preserve"> </w:t>
      </w:r>
    </w:p>
    <w:p w14:paraId="74FFA385" w14:textId="185437BC" w:rsidR="00051024" w:rsidRPr="0042152F" w:rsidRDefault="000B5006" w:rsidP="00B54C7C">
      <w:pPr>
        <w:spacing w:after="0" w:line="360" w:lineRule="auto"/>
        <w:ind w:firstLine="720"/>
        <w:jc w:val="both"/>
        <w:rPr>
          <w:rFonts w:ascii="Times New Roman" w:hAnsi="Times New Roman" w:cs="Times New Roman"/>
          <w:sz w:val="24"/>
          <w:szCs w:val="24"/>
        </w:rPr>
      </w:pPr>
      <w:r w:rsidRPr="00AA3832">
        <w:rPr>
          <w:rFonts w:ascii="Times New Roman" w:hAnsi="Times New Roman" w:cs="Times New Roman"/>
          <w:sz w:val="24"/>
          <w:szCs w:val="24"/>
        </w:rPr>
        <w:t xml:space="preserve">How does bargaining over value typically proceed? Sometimes the transaction will be initiated by the company </w:t>
      </w:r>
      <w:r w:rsidR="000E2CE9" w:rsidRPr="00AA3832">
        <w:rPr>
          <w:rFonts w:ascii="Times New Roman" w:hAnsi="Times New Roman" w:cs="Times New Roman"/>
          <w:sz w:val="24"/>
          <w:szCs w:val="24"/>
        </w:rPr>
        <w:t>that</w:t>
      </w:r>
      <w:r w:rsidRPr="00AA3832">
        <w:rPr>
          <w:rFonts w:ascii="Times New Roman" w:hAnsi="Times New Roman" w:cs="Times New Roman"/>
          <w:sz w:val="24"/>
          <w:szCs w:val="24"/>
        </w:rPr>
        <w:t xml:space="preserve"> has determined </w:t>
      </w:r>
      <w:r w:rsidR="000E2CE9" w:rsidRPr="00AA3832">
        <w:rPr>
          <w:rFonts w:ascii="Times New Roman" w:hAnsi="Times New Roman" w:cs="Times New Roman"/>
          <w:sz w:val="24"/>
          <w:szCs w:val="24"/>
        </w:rPr>
        <w:t xml:space="preserve">that a deal </w:t>
      </w:r>
      <w:r w:rsidR="007A19D9" w:rsidRPr="00AA3832">
        <w:rPr>
          <w:rFonts w:ascii="Times New Roman" w:hAnsi="Times New Roman" w:cs="Times New Roman"/>
          <w:sz w:val="24"/>
          <w:szCs w:val="24"/>
        </w:rPr>
        <w:t>with</w:t>
      </w:r>
      <w:r w:rsidR="007A19D9" w:rsidRPr="0042152F">
        <w:rPr>
          <w:rFonts w:ascii="Times New Roman" w:hAnsi="Times New Roman" w:cs="Times New Roman"/>
          <w:sz w:val="24"/>
          <w:szCs w:val="24"/>
        </w:rPr>
        <w:t xml:space="preserve"> the controller </w:t>
      </w:r>
      <w:r w:rsidR="000E2CE9" w:rsidRPr="0042152F">
        <w:rPr>
          <w:rFonts w:ascii="Times New Roman" w:hAnsi="Times New Roman" w:cs="Times New Roman"/>
          <w:sz w:val="24"/>
          <w:szCs w:val="24"/>
        </w:rPr>
        <w:t>is in its interest</w:t>
      </w:r>
      <w:r w:rsidRPr="0042152F">
        <w:rPr>
          <w:rFonts w:ascii="Times New Roman" w:hAnsi="Times New Roman" w:cs="Times New Roman"/>
          <w:sz w:val="24"/>
          <w:szCs w:val="24"/>
        </w:rPr>
        <w:t>.</w:t>
      </w:r>
      <w:r w:rsidR="000E2CE9" w:rsidRPr="0042152F">
        <w:rPr>
          <w:rStyle w:val="FootnoteReference"/>
          <w:rFonts w:ascii="Times New Roman" w:hAnsi="Times New Roman" w:cs="Times New Roman"/>
          <w:sz w:val="24"/>
          <w:szCs w:val="24"/>
        </w:rPr>
        <w:footnoteReference w:id="85"/>
      </w:r>
      <w:r w:rsidRPr="0042152F">
        <w:rPr>
          <w:rFonts w:ascii="Times New Roman" w:hAnsi="Times New Roman" w:cs="Times New Roman"/>
          <w:sz w:val="24"/>
          <w:szCs w:val="24"/>
        </w:rPr>
        <w:t xml:space="preserve"> In other circumstances, the controller will approach the </w:t>
      </w:r>
      <w:r w:rsidR="000E2CE9" w:rsidRPr="0042152F">
        <w:rPr>
          <w:rFonts w:ascii="Times New Roman" w:hAnsi="Times New Roman" w:cs="Times New Roman"/>
          <w:sz w:val="24"/>
          <w:szCs w:val="24"/>
        </w:rPr>
        <w:t>board</w:t>
      </w:r>
      <w:r w:rsidRPr="0042152F">
        <w:rPr>
          <w:rFonts w:ascii="Times New Roman" w:hAnsi="Times New Roman" w:cs="Times New Roman"/>
          <w:sz w:val="24"/>
          <w:szCs w:val="24"/>
        </w:rPr>
        <w:t xml:space="preserve">, </w:t>
      </w:r>
      <w:r w:rsidR="000E2CE9" w:rsidRPr="0042152F">
        <w:rPr>
          <w:rFonts w:ascii="Times New Roman" w:hAnsi="Times New Roman" w:cs="Times New Roman"/>
          <w:sz w:val="24"/>
          <w:szCs w:val="24"/>
        </w:rPr>
        <w:t>wh</w:t>
      </w:r>
      <w:r w:rsidR="007A19D9" w:rsidRPr="0042152F">
        <w:rPr>
          <w:rFonts w:ascii="Times New Roman" w:hAnsi="Times New Roman" w:cs="Times New Roman"/>
          <w:sz w:val="24"/>
          <w:szCs w:val="24"/>
        </w:rPr>
        <w:t>ich</w:t>
      </w:r>
      <w:r w:rsidRPr="0042152F">
        <w:rPr>
          <w:rFonts w:ascii="Times New Roman" w:hAnsi="Times New Roman" w:cs="Times New Roman"/>
          <w:sz w:val="24"/>
          <w:szCs w:val="24"/>
        </w:rPr>
        <w:t xml:space="preserve"> must </w:t>
      </w:r>
      <w:r w:rsidR="000E2CE9" w:rsidRPr="0042152F">
        <w:rPr>
          <w:rFonts w:ascii="Times New Roman" w:hAnsi="Times New Roman" w:cs="Times New Roman"/>
          <w:sz w:val="24"/>
          <w:szCs w:val="24"/>
        </w:rPr>
        <w:t xml:space="preserve">then </w:t>
      </w:r>
      <w:r w:rsidRPr="0042152F">
        <w:rPr>
          <w:rFonts w:ascii="Times New Roman" w:hAnsi="Times New Roman" w:cs="Times New Roman"/>
          <w:sz w:val="24"/>
          <w:szCs w:val="24"/>
        </w:rPr>
        <w:t xml:space="preserve">evaluate </w:t>
      </w:r>
      <w:r w:rsidR="007A19D9" w:rsidRPr="0042152F">
        <w:rPr>
          <w:rFonts w:ascii="Times New Roman" w:hAnsi="Times New Roman" w:cs="Times New Roman"/>
          <w:sz w:val="24"/>
          <w:szCs w:val="24"/>
        </w:rPr>
        <w:t>the terms of the deal</w:t>
      </w:r>
      <w:r w:rsidR="00EB467C" w:rsidRPr="0042152F">
        <w:rPr>
          <w:rFonts w:ascii="Times New Roman" w:hAnsi="Times New Roman" w:cs="Times New Roman"/>
          <w:sz w:val="24"/>
          <w:szCs w:val="24"/>
        </w:rPr>
        <w:t xml:space="preserve">. </w:t>
      </w:r>
      <w:r w:rsidR="001F055E">
        <w:rPr>
          <w:rFonts w:ascii="Times New Roman" w:hAnsi="Times New Roman" w:cs="Times New Roman"/>
          <w:sz w:val="24"/>
          <w:szCs w:val="24"/>
        </w:rPr>
        <w:t>Preferably, i</w:t>
      </w:r>
      <w:r w:rsidR="00096A10" w:rsidRPr="0042152F">
        <w:rPr>
          <w:rFonts w:ascii="Times New Roman" w:hAnsi="Times New Roman" w:cs="Times New Roman"/>
          <w:sz w:val="24"/>
          <w:szCs w:val="24"/>
        </w:rPr>
        <w:t>n either case</w:t>
      </w:r>
      <w:r w:rsidR="00EB467C" w:rsidRPr="0042152F">
        <w:rPr>
          <w:rFonts w:ascii="Times New Roman" w:hAnsi="Times New Roman" w:cs="Times New Roman"/>
          <w:sz w:val="24"/>
          <w:szCs w:val="24"/>
        </w:rPr>
        <w:t xml:space="preserve">, </w:t>
      </w:r>
      <w:r w:rsidR="001F055E">
        <w:rPr>
          <w:rFonts w:ascii="Times New Roman" w:hAnsi="Times New Roman" w:cs="Times New Roman"/>
          <w:sz w:val="24"/>
          <w:szCs w:val="24"/>
        </w:rPr>
        <w:t xml:space="preserve">a special committee </w:t>
      </w:r>
      <w:r w:rsidR="005277F9" w:rsidRPr="0042152F">
        <w:rPr>
          <w:rFonts w:ascii="Times New Roman" w:hAnsi="Times New Roman" w:cs="Times New Roman"/>
          <w:sz w:val="24"/>
          <w:szCs w:val="24"/>
        </w:rPr>
        <w:t xml:space="preserve">will </w:t>
      </w:r>
      <w:r w:rsidR="00FD66E3">
        <w:rPr>
          <w:rFonts w:ascii="Times New Roman" w:hAnsi="Times New Roman" w:cs="Times New Roman"/>
          <w:sz w:val="24"/>
          <w:szCs w:val="24"/>
        </w:rPr>
        <w:t>determine</w:t>
      </w:r>
      <w:r w:rsidR="00FD66E3" w:rsidRPr="0042152F">
        <w:rPr>
          <w:rFonts w:ascii="Times New Roman" w:hAnsi="Times New Roman" w:cs="Times New Roman"/>
          <w:sz w:val="24"/>
          <w:szCs w:val="24"/>
        </w:rPr>
        <w:t xml:space="preserve"> </w:t>
      </w:r>
      <w:r w:rsidR="00FD66E3">
        <w:rPr>
          <w:rFonts w:ascii="Times New Roman" w:hAnsi="Times New Roman" w:cs="Times New Roman"/>
          <w:sz w:val="24"/>
          <w:szCs w:val="24"/>
        </w:rPr>
        <w:t xml:space="preserve">whether </w:t>
      </w:r>
      <w:r w:rsidR="00EB467C" w:rsidRPr="0042152F">
        <w:rPr>
          <w:rFonts w:ascii="Times New Roman" w:hAnsi="Times New Roman" w:cs="Times New Roman"/>
          <w:sz w:val="24"/>
          <w:szCs w:val="24"/>
        </w:rPr>
        <w:t xml:space="preserve">the transaction </w:t>
      </w:r>
      <w:r w:rsidR="0037141B">
        <w:rPr>
          <w:rFonts w:ascii="Times New Roman" w:hAnsi="Times New Roman" w:cs="Times New Roman"/>
          <w:sz w:val="24"/>
          <w:szCs w:val="24"/>
        </w:rPr>
        <w:t xml:space="preserve">and its terms are beneficial for the company </w:t>
      </w:r>
      <w:r w:rsidR="00EB467C" w:rsidRPr="0042152F">
        <w:rPr>
          <w:rFonts w:ascii="Times New Roman" w:hAnsi="Times New Roman" w:cs="Times New Roman"/>
          <w:sz w:val="24"/>
          <w:szCs w:val="24"/>
        </w:rPr>
        <w:t>and negotiate with the controller to secure the best terms for the company and its minority shareholders.</w:t>
      </w:r>
      <w:r w:rsidR="000E2CE9" w:rsidRPr="0042152F">
        <w:rPr>
          <w:rFonts w:ascii="Times New Roman" w:hAnsi="Times New Roman" w:cs="Times New Roman"/>
          <w:sz w:val="24"/>
          <w:szCs w:val="24"/>
        </w:rPr>
        <w:t xml:space="preserve"> </w:t>
      </w:r>
      <w:r w:rsidR="00E306CF">
        <w:rPr>
          <w:rFonts w:ascii="Times New Roman" w:hAnsi="Times New Roman" w:cs="Times New Roman"/>
          <w:sz w:val="24"/>
          <w:szCs w:val="24"/>
        </w:rPr>
        <w:t>While the</w:t>
      </w:r>
      <w:r w:rsidR="00E306CF" w:rsidRPr="0042152F">
        <w:rPr>
          <w:rFonts w:ascii="Times New Roman" w:hAnsi="Times New Roman" w:cs="Times New Roman"/>
          <w:sz w:val="24"/>
          <w:szCs w:val="24"/>
        </w:rPr>
        <w:t xml:space="preserve"> </w:t>
      </w:r>
      <w:r w:rsidR="00001D2A">
        <w:rPr>
          <w:rFonts w:ascii="Times New Roman" w:hAnsi="Times New Roman" w:cs="Times New Roman"/>
          <w:sz w:val="24"/>
          <w:szCs w:val="24"/>
        </w:rPr>
        <w:t>transaction</w:t>
      </w:r>
      <w:r w:rsidR="00E306CF">
        <w:rPr>
          <w:rFonts w:ascii="Times New Roman" w:hAnsi="Times New Roman" w:cs="Times New Roman"/>
          <w:sz w:val="24"/>
          <w:szCs w:val="24"/>
        </w:rPr>
        <w:t xml:space="preserve"> at issue in </w:t>
      </w:r>
      <w:r w:rsidR="00E306CF">
        <w:rPr>
          <w:rFonts w:ascii="Times New Roman" w:hAnsi="Times New Roman" w:cs="Times New Roman"/>
          <w:i/>
          <w:iCs/>
          <w:sz w:val="24"/>
          <w:szCs w:val="24"/>
        </w:rPr>
        <w:t>Tornetta</w:t>
      </w:r>
      <w:r w:rsidR="00001D2A" w:rsidRPr="0042152F">
        <w:rPr>
          <w:rFonts w:ascii="Times New Roman" w:hAnsi="Times New Roman" w:cs="Times New Roman"/>
          <w:sz w:val="24"/>
          <w:szCs w:val="24"/>
        </w:rPr>
        <w:t xml:space="preserve"> </w:t>
      </w:r>
      <w:r w:rsidR="000E2CE9" w:rsidRPr="0042152F">
        <w:rPr>
          <w:rFonts w:ascii="Times New Roman" w:hAnsi="Times New Roman" w:cs="Times New Roman"/>
          <w:sz w:val="24"/>
          <w:szCs w:val="24"/>
        </w:rPr>
        <w:t>concern</w:t>
      </w:r>
      <w:r w:rsidR="00001D2A">
        <w:rPr>
          <w:rFonts w:ascii="Times New Roman" w:hAnsi="Times New Roman" w:cs="Times New Roman"/>
          <w:sz w:val="24"/>
          <w:szCs w:val="24"/>
        </w:rPr>
        <w:t>ed</w:t>
      </w:r>
      <w:r w:rsidR="000E2CE9" w:rsidRPr="0042152F">
        <w:rPr>
          <w:rFonts w:ascii="Times New Roman" w:hAnsi="Times New Roman" w:cs="Times New Roman"/>
          <w:sz w:val="24"/>
          <w:szCs w:val="24"/>
        </w:rPr>
        <w:t xml:space="preserve"> controller compensation</w:t>
      </w:r>
      <w:r w:rsidR="004E7A1A">
        <w:rPr>
          <w:rFonts w:ascii="Times New Roman" w:hAnsi="Times New Roman" w:cs="Times New Roman"/>
          <w:sz w:val="24"/>
          <w:szCs w:val="24"/>
        </w:rPr>
        <w:t>,</w:t>
      </w:r>
      <w:r w:rsidR="000E2CE9" w:rsidRPr="0042152F">
        <w:rPr>
          <w:rFonts w:ascii="Times New Roman" w:hAnsi="Times New Roman" w:cs="Times New Roman"/>
          <w:sz w:val="24"/>
          <w:szCs w:val="24"/>
        </w:rPr>
        <w:t xml:space="preserve"> </w:t>
      </w:r>
      <w:r w:rsidR="00E306CF">
        <w:rPr>
          <w:rFonts w:ascii="Times New Roman" w:hAnsi="Times New Roman" w:cs="Times New Roman"/>
          <w:sz w:val="24"/>
          <w:szCs w:val="24"/>
        </w:rPr>
        <w:t xml:space="preserve">the special committee may also be tasked with evaluating </w:t>
      </w:r>
      <w:r w:rsidR="000E2CE9" w:rsidRPr="0042152F">
        <w:rPr>
          <w:rFonts w:ascii="Times New Roman" w:hAnsi="Times New Roman" w:cs="Times New Roman"/>
          <w:sz w:val="24"/>
          <w:szCs w:val="24"/>
        </w:rPr>
        <w:t xml:space="preserve">a sale of the </w:t>
      </w:r>
      <w:r w:rsidR="001F055E">
        <w:rPr>
          <w:rFonts w:ascii="Times New Roman" w:hAnsi="Times New Roman" w:cs="Times New Roman"/>
          <w:sz w:val="24"/>
          <w:szCs w:val="24"/>
        </w:rPr>
        <w:t xml:space="preserve">minority shares </w:t>
      </w:r>
      <w:r w:rsidR="000E2CE9" w:rsidRPr="0042152F">
        <w:rPr>
          <w:rFonts w:ascii="Times New Roman" w:hAnsi="Times New Roman" w:cs="Times New Roman"/>
          <w:sz w:val="24"/>
          <w:szCs w:val="24"/>
        </w:rPr>
        <w:t>to the controller</w:t>
      </w:r>
      <w:r w:rsidR="004B6432">
        <w:rPr>
          <w:rFonts w:ascii="Times New Roman" w:hAnsi="Times New Roman" w:cs="Times New Roman"/>
          <w:sz w:val="24"/>
          <w:szCs w:val="24"/>
        </w:rPr>
        <w:t xml:space="preserve"> (a</w:t>
      </w:r>
      <w:r w:rsidR="00E306CF">
        <w:rPr>
          <w:rFonts w:ascii="Times New Roman" w:hAnsi="Times New Roman" w:cs="Times New Roman"/>
          <w:sz w:val="24"/>
          <w:szCs w:val="24"/>
        </w:rPr>
        <w:t>lso known as a</w:t>
      </w:r>
      <w:r w:rsidR="004B6432">
        <w:rPr>
          <w:rFonts w:ascii="Times New Roman" w:hAnsi="Times New Roman" w:cs="Times New Roman"/>
          <w:sz w:val="24"/>
          <w:szCs w:val="24"/>
        </w:rPr>
        <w:t xml:space="preserve"> “freezeout”</w:t>
      </w:r>
      <w:r w:rsidR="00E306CF">
        <w:rPr>
          <w:rFonts w:ascii="Times New Roman" w:hAnsi="Times New Roman" w:cs="Times New Roman"/>
          <w:sz w:val="24"/>
          <w:szCs w:val="24"/>
        </w:rPr>
        <w:t xml:space="preserve"> transaction</w:t>
      </w:r>
      <w:r w:rsidR="004B6432">
        <w:rPr>
          <w:rFonts w:ascii="Times New Roman" w:hAnsi="Times New Roman" w:cs="Times New Roman"/>
          <w:sz w:val="24"/>
          <w:szCs w:val="24"/>
        </w:rPr>
        <w:t xml:space="preserve">) or </w:t>
      </w:r>
      <w:r w:rsidR="00E306CF">
        <w:rPr>
          <w:rFonts w:ascii="Times New Roman" w:hAnsi="Times New Roman" w:cs="Times New Roman"/>
          <w:sz w:val="24"/>
          <w:szCs w:val="24"/>
        </w:rPr>
        <w:t>an</w:t>
      </w:r>
      <w:r w:rsidR="004B6432">
        <w:rPr>
          <w:rFonts w:ascii="Times New Roman" w:hAnsi="Times New Roman" w:cs="Times New Roman"/>
          <w:sz w:val="24"/>
          <w:szCs w:val="24"/>
        </w:rPr>
        <w:t>other</w:t>
      </w:r>
      <w:r w:rsidR="00E306CF">
        <w:rPr>
          <w:rFonts w:ascii="Times New Roman" w:hAnsi="Times New Roman" w:cs="Times New Roman"/>
          <w:sz w:val="24"/>
          <w:szCs w:val="24"/>
        </w:rPr>
        <w:t xml:space="preserve"> type of</w:t>
      </w:r>
      <w:r w:rsidR="004B6432">
        <w:rPr>
          <w:rFonts w:ascii="Times New Roman" w:hAnsi="Times New Roman" w:cs="Times New Roman"/>
          <w:sz w:val="24"/>
          <w:szCs w:val="24"/>
        </w:rPr>
        <w:t xml:space="preserve"> self-dealing transaction</w:t>
      </w:r>
      <w:r w:rsidR="000E2CE9" w:rsidRPr="0042152F">
        <w:rPr>
          <w:rFonts w:ascii="Times New Roman" w:hAnsi="Times New Roman" w:cs="Times New Roman"/>
          <w:sz w:val="24"/>
          <w:szCs w:val="24"/>
        </w:rPr>
        <w:t xml:space="preserve">. </w:t>
      </w:r>
      <w:r w:rsidR="00B81C9A">
        <w:rPr>
          <w:rFonts w:ascii="Times New Roman" w:hAnsi="Times New Roman" w:cs="Times New Roman"/>
          <w:sz w:val="24"/>
          <w:szCs w:val="24"/>
        </w:rPr>
        <w:t>I</w:t>
      </w:r>
      <w:r w:rsidR="000E2CE9" w:rsidRPr="0042152F">
        <w:rPr>
          <w:rFonts w:ascii="Times New Roman" w:hAnsi="Times New Roman" w:cs="Times New Roman"/>
          <w:sz w:val="24"/>
          <w:szCs w:val="24"/>
        </w:rPr>
        <w:t xml:space="preserve">n each scenario, </w:t>
      </w:r>
      <w:r w:rsidR="00E306CF">
        <w:rPr>
          <w:rFonts w:ascii="Times New Roman" w:hAnsi="Times New Roman" w:cs="Times New Roman"/>
          <w:sz w:val="24"/>
          <w:szCs w:val="24"/>
        </w:rPr>
        <w:t xml:space="preserve">however, </w:t>
      </w:r>
      <w:r w:rsidR="000E2CE9" w:rsidRPr="0042152F">
        <w:rPr>
          <w:rFonts w:ascii="Times New Roman" w:hAnsi="Times New Roman" w:cs="Times New Roman"/>
          <w:sz w:val="24"/>
          <w:szCs w:val="24"/>
        </w:rPr>
        <w:t xml:space="preserve">the committee </w:t>
      </w:r>
      <w:r w:rsidR="00E306CF">
        <w:rPr>
          <w:rFonts w:ascii="Times New Roman" w:hAnsi="Times New Roman" w:cs="Times New Roman"/>
          <w:sz w:val="24"/>
          <w:szCs w:val="24"/>
        </w:rPr>
        <w:t>begins</w:t>
      </w:r>
      <w:r w:rsidR="00E306CF" w:rsidRPr="0042152F">
        <w:rPr>
          <w:rFonts w:ascii="Times New Roman" w:hAnsi="Times New Roman" w:cs="Times New Roman"/>
          <w:sz w:val="24"/>
          <w:szCs w:val="24"/>
        </w:rPr>
        <w:t xml:space="preserve"> </w:t>
      </w:r>
      <w:r w:rsidR="000E2CE9" w:rsidRPr="0042152F">
        <w:rPr>
          <w:rFonts w:ascii="Times New Roman" w:hAnsi="Times New Roman" w:cs="Times New Roman"/>
          <w:sz w:val="24"/>
          <w:szCs w:val="24"/>
        </w:rPr>
        <w:t xml:space="preserve">with an estimate of value. </w:t>
      </w:r>
      <w:r w:rsidR="00EB467C" w:rsidRPr="0042152F">
        <w:rPr>
          <w:rFonts w:ascii="Times New Roman" w:hAnsi="Times New Roman" w:cs="Times New Roman"/>
          <w:sz w:val="24"/>
          <w:szCs w:val="24"/>
        </w:rPr>
        <w:t xml:space="preserve">For example, </w:t>
      </w:r>
      <w:r w:rsidR="000E2CE9" w:rsidRPr="0042152F">
        <w:rPr>
          <w:rFonts w:ascii="Times New Roman" w:hAnsi="Times New Roman" w:cs="Times New Roman"/>
          <w:sz w:val="24"/>
          <w:szCs w:val="24"/>
        </w:rPr>
        <w:t>when the controller seeks to buy out the minority shareholders</w:t>
      </w:r>
      <w:r w:rsidR="00EB467C" w:rsidRPr="0042152F">
        <w:rPr>
          <w:rFonts w:ascii="Times New Roman" w:hAnsi="Times New Roman" w:cs="Times New Roman"/>
          <w:sz w:val="24"/>
          <w:szCs w:val="24"/>
        </w:rPr>
        <w:t xml:space="preserve">, the special committee </w:t>
      </w:r>
      <w:r w:rsidR="001F055E">
        <w:rPr>
          <w:rFonts w:ascii="Times New Roman" w:hAnsi="Times New Roman" w:cs="Times New Roman"/>
          <w:sz w:val="24"/>
          <w:szCs w:val="24"/>
        </w:rPr>
        <w:t>s</w:t>
      </w:r>
      <w:r w:rsidR="00EB467C" w:rsidRPr="0042152F">
        <w:rPr>
          <w:rFonts w:ascii="Times New Roman" w:hAnsi="Times New Roman" w:cs="Times New Roman"/>
          <w:sz w:val="24"/>
          <w:szCs w:val="24"/>
        </w:rPr>
        <w:t>tart</w:t>
      </w:r>
      <w:r w:rsidR="001F055E">
        <w:rPr>
          <w:rFonts w:ascii="Times New Roman" w:hAnsi="Times New Roman" w:cs="Times New Roman"/>
          <w:sz w:val="24"/>
          <w:szCs w:val="24"/>
        </w:rPr>
        <w:t>s</w:t>
      </w:r>
      <w:r w:rsidR="00EB467C" w:rsidRPr="0042152F">
        <w:rPr>
          <w:rFonts w:ascii="Times New Roman" w:hAnsi="Times New Roman" w:cs="Times New Roman"/>
          <w:sz w:val="24"/>
          <w:szCs w:val="24"/>
        </w:rPr>
        <w:t xml:space="preserve"> by determining </w:t>
      </w:r>
      <w:r w:rsidR="001F055E">
        <w:rPr>
          <w:rFonts w:ascii="Times New Roman" w:hAnsi="Times New Roman" w:cs="Times New Roman"/>
          <w:sz w:val="24"/>
          <w:szCs w:val="24"/>
        </w:rPr>
        <w:t>t</w:t>
      </w:r>
      <w:r w:rsidR="00EB467C" w:rsidRPr="0042152F">
        <w:rPr>
          <w:rFonts w:ascii="Times New Roman" w:hAnsi="Times New Roman" w:cs="Times New Roman"/>
          <w:sz w:val="24"/>
          <w:szCs w:val="24"/>
        </w:rPr>
        <w:t xml:space="preserve">he fair market value of the </w:t>
      </w:r>
      <w:r w:rsidR="000E2CE9" w:rsidRPr="0042152F">
        <w:rPr>
          <w:rFonts w:ascii="Times New Roman" w:hAnsi="Times New Roman" w:cs="Times New Roman"/>
          <w:sz w:val="24"/>
          <w:szCs w:val="24"/>
        </w:rPr>
        <w:t xml:space="preserve">company’s </w:t>
      </w:r>
      <w:r w:rsidR="00EB467C" w:rsidRPr="0042152F">
        <w:rPr>
          <w:rFonts w:ascii="Times New Roman" w:hAnsi="Times New Roman" w:cs="Times New Roman"/>
          <w:sz w:val="24"/>
          <w:szCs w:val="24"/>
        </w:rPr>
        <w:t>shares</w:t>
      </w:r>
      <w:r w:rsidR="001F055E">
        <w:rPr>
          <w:rFonts w:ascii="Times New Roman" w:hAnsi="Times New Roman" w:cs="Times New Roman"/>
          <w:sz w:val="24"/>
          <w:szCs w:val="24"/>
        </w:rPr>
        <w:t xml:space="preserve"> </w:t>
      </w:r>
      <w:r w:rsidR="00EB467C" w:rsidRPr="0042152F">
        <w:rPr>
          <w:rFonts w:ascii="Times New Roman" w:hAnsi="Times New Roman" w:cs="Times New Roman"/>
          <w:sz w:val="24"/>
          <w:szCs w:val="24"/>
        </w:rPr>
        <w:t>and</w:t>
      </w:r>
      <w:r w:rsidR="00E306CF">
        <w:rPr>
          <w:rFonts w:ascii="Times New Roman" w:hAnsi="Times New Roman" w:cs="Times New Roman"/>
          <w:sz w:val="24"/>
          <w:szCs w:val="24"/>
        </w:rPr>
        <w:t xml:space="preserve"> then</w:t>
      </w:r>
      <w:r w:rsidR="00EB467C" w:rsidRPr="0042152F">
        <w:rPr>
          <w:rFonts w:ascii="Times New Roman" w:hAnsi="Times New Roman" w:cs="Times New Roman"/>
          <w:sz w:val="24"/>
          <w:szCs w:val="24"/>
        </w:rPr>
        <w:t xml:space="preserve"> bargain</w:t>
      </w:r>
      <w:r w:rsidR="00E306CF">
        <w:rPr>
          <w:rFonts w:ascii="Times New Roman" w:hAnsi="Times New Roman" w:cs="Times New Roman"/>
          <w:sz w:val="24"/>
          <w:szCs w:val="24"/>
        </w:rPr>
        <w:t>s</w:t>
      </w:r>
      <w:r w:rsidR="00EB467C" w:rsidRPr="0042152F">
        <w:rPr>
          <w:rFonts w:ascii="Times New Roman" w:hAnsi="Times New Roman" w:cs="Times New Roman"/>
          <w:sz w:val="24"/>
          <w:szCs w:val="24"/>
        </w:rPr>
        <w:t xml:space="preserve"> </w:t>
      </w:r>
      <w:r w:rsidR="00E306CF">
        <w:rPr>
          <w:rFonts w:ascii="Times New Roman" w:hAnsi="Times New Roman" w:cs="Times New Roman"/>
          <w:sz w:val="24"/>
          <w:szCs w:val="24"/>
        </w:rPr>
        <w:t xml:space="preserve">with the </w:t>
      </w:r>
      <w:r w:rsidR="00E306CF">
        <w:rPr>
          <w:rFonts w:ascii="Times New Roman" w:hAnsi="Times New Roman" w:cs="Times New Roman"/>
          <w:sz w:val="24"/>
          <w:szCs w:val="24"/>
        </w:rPr>
        <w:lastRenderedPageBreak/>
        <w:t xml:space="preserve">controller </w:t>
      </w:r>
      <w:r w:rsidR="00EB467C" w:rsidRPr="0042152F">
        <w:rPr>
          <w:rFonts w:ascii="Times New Roman" w:hAnsi="Times New Roman" w:cs="Times New Roman"/>
          <w:sz w:val="24"/>
          <w:szCs w:val="24"/>
        </w:rPr>
        <w:t xml:space="preserve">over </w:t>
      </w:r>
      <w:r w:rsidR="00EF3728">
        <w:rPr>
          <w:rFonts w:ascii="Times New Roman" w:hAnsi="Times New Roman" w:cs="Times New Roman"/>
          <w:sz w:val="24"/>
          <w:szCs w:val="24"/>
        </w:rPr>
        <w:t xml:space="preserve">the </w:t>
      </w:r>
      <w:r w:rsidR="00E306CF">
        <w:rPr>
          <w:rFonts w:ascii="Times New Roman" w:hAnsi="Times New Roman" w:cs="Times New Roman"/>
          <w:sz w:val="24"/>
          <w:szCs w:val="24"/>
        </w:rPr>
        <w:t>surplus</w:t>
      </w:r>
      <w:r w:rsidR="00EB467C" w:rsidRPr="0042152F">
        <w:rPr>
          <w:rFonts w:ascii="Times New Roman" w:hAnsi="Times New Roman" w:cs="Times New Roman"/>
          <w:sz w:val="24"/>
          <w:szCs w:val="24"/>
        </w:rPr>
        <w:t>.</w:t>
      </w:r>
      <w:r w:rsidR="00EB467C" w:rsidRPr="0042152F">
        <w:rPr>
          <w:rStyle w:val="FootnoteReference"/>
          <w:rFonts w:ascii="Times New Roman" w:hAnsi="Times New Roman" w:cs="Times New Roman"/>
          <w:sz w:val="24"/>
          <w:szCs w:val="24"/>
        </w:rPr>
        <w:footnoteReference w:id="86"/>
      </w:r>
      <w:r w:rsidR="00051024" w:rsidRPr="0042152F">
        <w:rPr>
          <w:rFonts w:ascii="Times New Roman" w:hAnsi="Times New Roman" w:cs="Times New Roman"/>
          <w:sz w:val="24"/>
          <w:szCs w:val="24"/>
        </w:rPr>
        <w:t xml:space="preserve"> </w:t>
      </w:r>
      <w:r w:rsidR="00EB467C" w:rsidRPr="0042152F">
        <w:rPr>
          <w:rFonts w:ascii="Times New Roman" w:hAnsi="Times New Roman" w:cs="Times New Roman"/>
          <w:sz w:val="24"/>
          <w:szCs w:val="24"/>
        </w:rPr>
        <w:t xml:space="preserve">In the context of a compensation arrangement, the special committee must estimate the </w:t>
      </w:r>
      <w:r w:rsidR="00342609">
        <w:rPr>
          <w:rFonts w:ascii="Times New Roman" w:hAnsi="Times New Roman" w:cs="Times New Roman"/>
          <w:sz w:val="24"/>
          <w:szCs w:val="24"/>
        </w:rPr>
        <w:t>controller</w:t>
      </w:r>
      <w:r w:rsidR="00342609" w:rsidRPr="0042152F">
        <w:rPr>
          <w:rFonts w:ascii="Times New Roman" w:hAnsi="Times New Roman" w:cs="Times New Roman"/>
          <w:sz w:val="24"/>
          <w:szCs w:val="24"/>
        </w:rPr>
        <w:t xml:space="preserve">’s </w:t>
      </w:r>
      <w:r w:rsidR="00EB467C" w:rsidRPr="0042152F">
        <w:rPr>
          <w:rFonts w:ascii="Times New Roman" w:hAnsi="Times New Roman" w:cs="Times New Roman"/>
          <w:sz w:val="24"/>
          <w:szCs w:val="24"/>
        </w:rPr>
        <w:t xml:space="preserve">value to the company and </w:t>
      </w:r>
      <w:r w:rsidR="000E2CE9" w:rsidRPr="0042152F">
        <w:rPr>
          <w:rFonts w:ascii="Times New Roman" w:hAnsi="Times New Roman" w:cs="Times New Roman"/>
          <w:sz w:val="24"/>
          <w:szCs w:val="24"/>
        </w:rPr>
        <w:t>negotiate with that value in mind</w:t>
      </w:r>
      <w:r w:rsidR="00EB467C" w:rsidRPr="0042152F">
        <w:rPr>
          <w:rFonts w:ascii="Times New Roman" w:hAnsi="Times New Roman" w:cs="Times New Roman"/>
          <w:sz w:val="24"/>
          <w:szCs w:val="24"/>
        </w:rPr>
        <w:t xml:space="preserve">. </w:t>
      </w:r>
    </w:p>
    <w:p w14:paraId="63014976" w14:textId="3E7B6922" w:rsidR="00D4794B" w:rsidRPr="0042152F" w:rsidRDefault="00CE1799" w:rsidP="002E3243">
      <w:pPr>
        <w:spacing w:after="12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Simply put</w:t>
      </w:r>
      <w:r w:rsidR="000E2CE9" w:rsidRPr="0042152F">
        <w:rPr>
          <w:rFonts w:ascii="Times New Roman" w:hAnsi="Times New Roman" w:cs="Times New Roman"/>
          <w:sz w:val="24"/>
          <w:szCs w:val="24"/>
        </w:rPr>
        <w:t>, valuation is an important component of bargaining</w:t>
      </w:r>
      <w:r w:rsidR="0029550C">
        <w:rPr>
          <w:rFonts w:ascii="Times New Roman" w:hAnsi="Times New Roman" w:cs="Times New Roman"/>
          <w:sz w:val="24"/>
          <w:szCs w:val="24"/>
        </w:rPr>
        <w:t xml:space="preserve"> and</w:t>
      </w:r>
      <w:r w:rsidR="0032463D">
        <w:rPr>
          <w:rFonts w:ascii="Times New Roman" w:hAnsi="Times New Roman" w:cs="Times New Roman"/>
          <w:sz w:val="24"/>
          <w:szCs w:val="24"/>
        </w:rPr>
        <w:t xml:space="preserve"> is</w:t>
      </w:r>
      <w:r w:rsidR="000E2CE9" w:rsidRPr="0042152F">
        <w:rPr>
          <w:rFonts w:ascii="Times New Roman" w:hAnsi="Times New Roman" w:cs="Times New Roman"/>
          <w:sz w:val="24"/>
          <w:szCs w:val="24"/>
        </w:rPr>
        <w:t xml:space="preserve"> an essential aspect of the court’s review of the </w:t>
      </w:r>
      <w:r w:rsidR="00727AFB">
        <w:rPr>
          <w:rFonts w:ascii="Times New Roman" w:hAnsi="Times New Roman" w:cs="Times New Roman"/>
          <w:sz w:val="24"/>
          <w:szCs w:val="24"/>
        </w:rPr>
        <w:t>fair dealing.</w:t>
      </w:r>
      <w:bookmarkStart w:id="7" w:name="_Ref173219359"/>
      <w:r w:rsidR="00345B18" w:rsidRPr="0042152F">
        <w:rPr>
          <w:rStyle w:val="FootnoteReference"/>
          <w:rFonts w:ascii="Times New Roman" w:hAnsi="Times New Roman" w:cs="Times New Roman"/>
          <w:sz w:val="24"/>
          <w:szCs w:val="24"/>
        </w:rPr>
        <w:footnoteReference w:id="87"/>
      </w:r>
      <w:bookmarkEnd w:id="7"/>
      <w:r w:rsidR="00EB467C" w:rsidRPr="0042152F">
        <w:rPr>
          <w:rFonts w:ascii="Times New Roman" w:hAnsi="Times New Roman" w:cs="Times New Roman"/>
          <w:sz w:val="24"/>
          <w:szCs w:val="24"/>
        </w:rPr>
        <w:t xml:space="preserve"> </w:t>
      </w:r>
      <w:r w:rsidR="00000324">
        <w:rPr>
          <w:rFonts w:ascii="Times New Roman" w:hAnsi="Times New Roman" w:cs="Times New Roman"/>
          <w:sz w:val="24"/>
          <w:szCs w:val="24"/>
        </w:rPr>
        <w:t>Therefore</w:t>
      </w:r>
      <w:r w:rsidR="00D4794B" w:rsidRPr="0042152F">
        <w:rPr>
          <w:rFonts w:ascii="Times New Roman" w:hAnsi="Times New Roman" w:cs="Times New Roman"/>
          <w:sz w:val="24"/>
          <w:szCs w:val="24"/>
        </w:rPr>
        <w:t xml:space="preserve">, when the court applies the entire fairness standard of review, the issue of valuation </w:t>
      </w:r>
      <w:r w:rsidR="00000324">
        <w:rPr>
          <w:rFonts w:ascii="Times New Roman" w:hAnsi="Times New Roman" w:cs="Times New Roman"/>
          <w:sz w:val="24"/>
          <w:szCs w:val="24"/>
        </w:rPr>
        <w:t>becomes</w:t>
      </w:r>
      <w:r w:rsidR="00000324" w:rsidRPr="0042152F">
        <w:rPr>
          <w:rFonts w:ascii="Times New Roman" w:hAnsi="Times New Roman" w:cs="Times New Roman"/>
          <w:sz w:val="24"/>
          <w:szCs w:val="24"/>
        </w:rPr>
        <w:t xml:space="preserve"> </w:t>
      </w:r>
      <w:r w:rsidR="00D4794B" w:rsidRPr="0042152F">
        <w:rPr>
          <w:rFonts w:ascii="Times New Roman" w:hAnsi="Times New Roman" w:cs="Times New Roman"/>
          <w:sz w:val="24"/>
          <w:szCs w:val="24"/>
        </w:rPr>
        <w:t xml:space="preserve">central to the trial. </w:t>
      </w:r>
      <w:r w:rsidR="00994021">
        <w:rPr>
          <w:rFonts w:ascii="Times New Roman" w:hAnsi="Times New Roman" w:cs="Times New Roman"/>
          <w:sz w:val="24"/>
          <w:szCs w:val="24"/>
        </w:rPr>
        <w:t>I</w:t>
      </w:r>
      <w:r w:rsidR="007F1C71" w:rsidRPr="0042152F">
        <w:rPr>
          <w:rFonts w:ascii="Times New Roman" w:hAnsi="Times New Roman" w:cs="Times New Roman"/>
          <w:sz w:val="24"/>
          <w:szCs w:val="24"/>
        </w:rPr>
        <w:t>n its</w:t>
      </w:r>
      <w:r w:rsidR="002C6355" w:rsidRPr="0042152F">
        <w:rPr>
          <w:rFonts w:ascii="Times New Roman" w:hAnsi="Times New Roman" w:cs="Times New Roman"/>
          <w:sz w:val="24"/>
          <w:szCs w:val="24"/>
        </w:rPr>
        <w:t xml:space="preserve"> review of </w:t>
      </w:r>
      <w:r w:rsidR="00994021">
        <w:rPr>
          <w:rFonts w:ascii="Times New Roman" w:hAnsi="Times New Roman" w:cs="Times New Roman"/>
          <w:sz w:val="24"/>
          <w:szCs w:val="24"/>
        </w:rPr>
        <w:t xml:space="preserve">both </w:t>
      </w:r>
      <w:r w:rsidR="007F1C71" w:rsidRPr="0042152F">
        <w:rPr>
          <w:rFonts w:ascii="Times New Roman" w:hAnsi="Times New Roman" w:cs="Times New Roman"/>
          <w:sz w:val="24"/>
          <w:szCs w:val="24"/>
        </w:rPr>
        <w:t xml:space="preserve">the transaction’s </w:t>
      </w:r>
      <w:r w:rsidR="002C6355" w:rsidRPr="0042152F">
        <w:rPr>
          <w:rFonts w:ascii="Times New Roman" w:hAnsi="Times New Roman" w:cs="Times New Roman"/>
          <w:sz w:val="24"/>
          <w:szCs w:val="24"/>
        </w:rPr>
        <w:t xml:space="preserve">price and process, the court </w:t>
      </w:r>
      <w:r w:rsidR="002D2EF3" w:rsidRPr="0042152F">
        <w:rPr>
          <w:rFonts w:ascii="Times New Roman" w:hAnsi="Times New Roman" w:cs="Times New Roman"/>
          <w:sz w:val="24"/>
          <w:szCs w:val="24"/>
        </w:rPr>
        <w:t xml:space="preserve">explicitly and </w:t>
      </w:r>
      <w:r w:rsidR="002C6355" w:rsidRPr="0042152F">
        <w:rPr>
          <w:rFonts w:ascii="Times New Roman" w:hAnsi="Times New Roman" w:cs="Times New Roman"/>
          <w:sz w:val="24"/>
          <w:szCs w:val="24"/>
        </w:rPr>
        <w:t xml:space="preserve">implicitly </w:t>
      </w:r>
      <w:r w:rsidR="00F82FD6" w:rsidRPr="0042152F">
        <w:rPr>
          <w:rFonts w:ascii="Times New Roman" w:hAnsi="Times New Roman" w:cs="Times New Roman"/>
          <w:sz w:val="24"/>
          <w:szCs w:val="24"/>
        </w:rPr>
        <w:t>rel</w:t>
      </w:r>
      <w:r w:rsidR="00F32DAD" w:rsidRPr="0042152F">
        <w:rPr>
          <w:rFonts w:ascii="Times New Roman" w:hAnsi="Times New Roman" w:cs="Times New Roman"/>
          <w:sz w:val="24"/>
          <w:szCs w:val="24"/>
        </w:rPr>
        <w:t xml:space="preserve">ies </w:t>
      </w:r>
      <w:r w:rsidR="002C6355" w:rsidRPr="0042152F">
        <w:rPr>
          <w:rFonts w:ascii="Times New Roman" w:hAnsi="Times New Roman" w:cs="Times New Roman"/>
          <w:sz w:val="24"/>
          <w:szCs w:val="24"/>
        </w:rPr>
        <w:t xml:space="preserve">on </w:t>
      </w:r>
      <w:r w:rsidR="00000324">
        <w:rPr>
          <w:rFonts w:ascii="Times New Roman" w:hAnsi="Times New Roman" w:cs="Times New Roman"/>
          <w:sz w:val="24"/>
          <w:szCs w:val="24"/>
        </w:rPr>
        <w:t>an</w:t>
      </w:r>
      <w:r w:rsidR="00000324" w:rsidRPr="0042152F">
        <w:rPr>
          <w:rFonts w:ascii="Times New Roman" w:hAnsi="Times New Roman" w:cs="Times New Roman"/>
          <w:sz w:val="24"/>
          <w:szCs w:val="24"/>
        </w:rPr>
        <w:t xml:space="preserve"> </w:t>
      </w:r>
      <w:r w:rsidR="002C6355" w:rsidRPr="0042152F">
        <w:rPr>
          <w:rFonts w:ascii="Times New Roman" w:hAnsi="Times New Roman" w:cs="Times New Roman"/>
          <w:sz w:val="24"/>
          <w:szCs w:val="24"/>
        </w:rPr>
        <w:t xml:space="preserve">assessment of the transaction’s value.  </w:t>
      </w:r>
    </w:p>
    <w:p w14:paraId="26DEE627" w14:textId="2500B046" w:rsidR="00AE1ACE" w:rsidRPr="0042152F" w:rsidRDefault="00AE1ACE" w:rsidP="00B26031">
      <w:pPr>
        <w:pStyle w:val="Heading2"/>
        <w:spacing w:before="0" w:line="360" w:lineRule="auto"/>
      </w:pPr>
      <w:bookmarkStart w:id="8" w:name="_Toc181789835"/>
      <w:r w:rsidRPr="0042152F">
        <w:t>B. Cleansing</w:t>
      </w:r>
      <w:r w:rsidR="003B5CCE" w:rsidRPr="0042152F">
        <w:t xml:space="preserve"> under MFW</w:t>
      </w:r>
      <w:bookmarkEnd w:id="8"/>
    </w:p>
    <w:p w14:paraId="48204C35" w14:textId="51BA44F2" w:rsidR="009C4418" w:rsidRPr="0042152F" w:rsidRDefault="000E6FAD" w:rsidP="00B26031">
      <w:pPr>
        <w:spacing w:after="0" w:line="360" w:lineRule="auto"/>
        <w:ind w:firstLine="720"/>
        <w:jc w:val="both"/>
        <w:rPr>
          <w:rFonts w:ascii="Times New Roman" w:hAnsi="Times New Roman" w:cs="Times New Roman"/>
          <w:sz w:val="24"/>
          <w:szCs w:val="24"/>
          <w:lang w:bidi="he-IL"/>
        </w:rPr>
      </w:pPr>
      <w:r>
        <w:rPr>
          <w:rFonts w:ascii="Times New Roman" w:hAnsi="Times New Roman" w:cs="Times New Roman"/>
          <w:sz w:val="24"/>
          <w:szCs w:val="24"/>
        </w:rPr>
        <w:t>And yet, e</w:t>
      </w:r>
      <w:r w:rsidRPr="0042152F">
        <w:rPr>
          <w:rFonts w:ascii="Times New Roman" w:hAnsi="Times New Roman" w:cs="Times New Roman"/>
          <w:sz w:val="24"/>
          <w:szCs w:val="24"/>
        </w:rPr>
        <w:t xml:space="preserve">ntire </w:t>
      </w:r>
      <w:r w:rsidR="006313D6" w:rsidRPr="0042152F">
        <w:rPr>
          <w:rFonts w:ascii="Times New Roman" w:hAnsi="Times New Roman" w:cs="Times New Roman"/>
          <w:sz w:val="24"/>
          <w:szCs w:val="24"/>
        </w:rPr>
        <w:t xml:space="preserve">fairness review is not inevitable. </w:t>
      </w:r>
      <w:r w:rsidR="00AE1ACE" w:rsidRPr="0042152F">
        <w:rPr>
          <w:rFonts w:ascii="Times New Roman" w:hAnsi="Times New Roman" w:cs="Times New Roman"/>
          <w:sz w:val="24"/>
          <w:szCs w:val="24"/>
        </w:rPr>
        <w:t>Over time, the framework for judicial review</w:t>
      </w:r>
      <w:r w:rsidR="006313D6" w:rsidRPr="0042152F">
        <w:rPr>
          <w:rFonts w:ascii="Times New Roman" w:hAnsi="Times New Roman" w:cs="Times New Roman"/>
          <w:sz w:val="24"/>
          <w:szCs w:val="24"/>
        </w:rPr>
        <w:t xml:space="preserve"> has</w:t>
      </w:r>
      <w:r w:rsidR="00AE1ACE" w:rsidRPr="0042152F">
        <w:rPr>
          <w:rFonts w:ascii="Times New Roman" w:hAnsi="Times New Roman" w:cs="Times New Roman"/>
          <w:sz w:val="24"/>
          <w:szCs w:val="24"/>
        </w:rPr>
        <w:t xml:space="preserve"> evolved to embrace two cleansing </w:t>
      </w:r>
      <w:r w:rsidR="00FE4388" w:rsidRPr="0042152F">
        <w:rPr>
          <w:rFonts w:ascii="Times New Roman" w:hAnsi="Times New Roman" w:cs="Times New Roman"/>
          <w:sz w:val="24"/>
          <w:szCs w:val="24"/>
        </w:rPr>
        <w:t xml:space="preserve">mechanisms that </w:t>
      </w:r>
      <w:r>
        <w:rPr>
          <w:rFonts w:ascii="Times New Roman" w:hAnsi="Times New Roman" w:cs="Times New Roman"/>
          <w:sz w:val="24"/>
          <w:szCs w:val="24"/>
          <w:lang w:bidi="he-IL"/>
        </w:rPr>
        <w:t>allow courts to avoid</w:t>
      </w:r>
      <w:r w:rsidR="0059362C" w:rsidRPr="0042152F">
        <w:rPr>
          <w:rFonts w:ascii="Times New Roman" w:hAnsi="Times New Roman" w:cs="Times New Roman"/>
          <w:sz w:val="24"/>
          <w:szCs w:val="24"/>
          <w:lang w:bidi="he-IL"/>
        </w:rPr>
        <w:t xml:space="preserve"> </w:t>
      </w:r>
      <w:r w:rsidR="0080727B">
        <w:rPr>
          <w:rFonts w:ascii="Times New Roman" w:hAnsi="Times New Roman" w:cs="Times New Roman"/>
          <w:sz w:val="24"/>
          <w:szCs w:val="24"/>
          <w:lang w:bidi="he-IL"/>
        </w:rPr>
        <w:t>searching review of the transaction’s terms and the process that led to it</w:t>
      </w:r>
      <w:r w:rsidR="00FE4388" w:rsidRPr="0042152F">
        <w:rPr>
          <w:rFonts w:ascii="Times New Roman" w:hAnsi="Times New Roman" w:cs="Times New Roman"/>
          <w:sz w:val="24"/>
          <w:szCs w:val="24"/>
        </w:rPr>
        <w:t>.</w:t>
      </w:r>
      <w:r w:rsidR="009C4418" w:rsidRPr="0042152F">
        <w:rPr>
          <w:rStyle w:val="FootnoteReference"/>
          <w:rFonts w:ascii="Times New Roman" w:hAnsi="Times New Roman" w:cs="Times New Roman"/>
          <w:sz w:val="24"/>
          <w:szCs w:val="24"/>
          <w:lang w:bidi="he-IL"/>
        </w:rPr>
        <w:footnoteReference w:id="88"/>
      </w:r>
    </w:p>
    <w:p w14:paraId="51DC0AFE" w14:textId="2C12A3A9" w:rsidR="0080727B" w:rsidRDefault="004C60B5" w:rsidP="00B54C7C">
      <w:pPr>
        <w:spacing w:after="0" w:line="360" w:lineRule="auto"/>
        <w:ind w:firstLine="720"/>
        <w:jc w:val="both"/>
        <w:rPr>
          <w:rFonts w:asciiTheme="majorBidi" w:hAnsiTheme="majorBidi" w:cstheme="majorBidi"/>
          <w:sz w:val="24"/>
          <w:szCs w:val="24"/>
        </w:rPr>
      </w:pPr>
      <w:r w:rsidRPr="0042152F">
        <w:rPr>
          <w:rFonts w:ascii="Times New Roman" w:hAnsi="Times New Roman" w:cs="Times New Roman"/>
          <w:sz w:val="24"/>
          <w:szCs w:val="24"/>
        </w:rPr>
        <w:t>The relevant line of cases begins with</w:t>
      </w:r>
      <w:r w:rsidR="00DF70F4" w:rsidRPr="0042152F">
        <w:rPr>
          <w:rFonts w:ascii="Times New Roman" w:hAnsi="Times New Roman" w:cs="Times New Roman"/>
          <w:sz w:val="24"/>
          <w:szCs w:val="24"/>
        </w:rPr>
        <w:t xml:space="preserve"> </w:t>
      </w:r>
      <w:r w:rsidR="00FE4388" w:rsidRPr="0042152F">
        <w:rPr>
          <w:rFonts w:ascii="Times New Roman" w:hAnsi="Times New Roman" w:cs="Times New Roman"/>
          <w:i/>
          <w:iCs/>
          <w:sz w:val="24"/>
          <w:szCs w:val="24"/>
        </w:rPr>
        <w:t>Khan v. Lynch</w:t>
      </w:r>
      <w:r w:rsidR="00FE4388" w:rsidRPr="0042152F">
        <w:rPr>
          <w:rFonts w:ascii="Times New Roman" w:hAnsi="Times New Roman" w:cs="Times New Roman"/>
          <w:sz w:val="24"/>
          <w:szCs w:val="24"/>
        </w:rPr>
        <w:t>,</w:t>
      </w:r>
      <w:r w:rsidRPr="0042152F">
        <w:rPr>
          <w:rFonts w:ascii="Times New Roman" w:hAnsi="Times New Roman" w:cs="Times New Roman"/>
          <w:sz w:val="24"/>
          <w:szCs w:val="24"/>
        </w:rPr>
        <w:t xml:space="preserve"> in which</w:t>
      </w:r>
      <w:r w:rsidR="00FE4388" w:rsidRPr="0042152F">
        <w:rPr>
          <w:rFonts w:ascii="Times New Roman" w:hAnsi="Times New Roman" w:cs="Times New Roman"/>
          <w:sz w:val="24"/>
          <w:szCs w:val="24"/>
        </w:rPr>
        <w:t xml:space="preserve"> the Delaware Supreme </w:t>
      </w:r>
      <w:r w:rsidR="00DF70F4" w:rsidRPr="0042152F">
        <w:rPr>
          <w:rFonts w:ascii="Times New Roman" w:hAnsi="Times New Roman" w:cs="Times New Roman"/>
          <w:sz w:val="24"/>
          <w:szCs w:val="24"/>
        </w:rPr>
        <w:t>C</w:t>
      </w:r>
      <w:r w:rsidR="00FE4388" w:rsidRPr="0042152F">
        <w:rPr>
          <w:rFonts w:ascii="Times New Roman" w:hAnsi="Times New Roman" w:cs="Times New Roman"/>
          <w:sz w:val="24"/>
          <w:szCs w:val="24"/>
        </w:rPr>
        <w:t>ourt</w:t>
      </w:r>
      <w:r w:rsidR="00DF70F4" w:rsidRPr="0042152F">
        <w:rPr>
          <w:rFonts w:ascii="Times New Roman" w:hAnsi="Times New Roman" w:cs="Times New Roman"/>
          <w:sz w:val="24"/>
          <w:szCs w:val="24"/>
        </w:rPr>
        <w:t xml:space="preserve"> held </w:t>
      </w:r>
      <w:r w:rsidR="00FE4388" w:rsidRPr="0042152F">
        <w:rPr>
          <w:rFonts w:ascii="Times New Roman" w:hAnsi="Times New Roman" w:cs="Times New Roman"/>
          <w:sz w:val="24"/>
          <w:szCs w:val="24"/>
        </w:rPr>
        <w:t xml:space="preserve">that if a controller </w:t>
      </w:r>
      <w:r w:rsidR="00DF70F4" w:rsidRPr="0042152F">
        <w:rPr>
          <w:rFonts w:ascii="Times New Roman" w:hAnsi="Times New Roman" w:cs="Times New Roman"/>
          <w:sz w:val="24"/>
          <w:szCs w:val="24"/>
        </w:rPr>
        <w:t xml:space="preserve">secured the approval of </w:t>
      </w:r>
      <w:r w:rsidR="002A2809" w:rsidRPr="0042152F">
        <w:rPr>
          <w:rFonts w:ascii="Times New Roman" w:hAnsi="Times New Roman" w:cs="Times New Roman"/>
          <w:i/>
          <w:iCs/>
          <w:sz w:val="24"/>
          <w:szCs w:val="24"/>
        </w:rPr>
        <w:t xml:space="preserve">either </w:t>
      </w:r>
      <w:r w:rsidR="00DF70F4" w:rsidRPr="0042152F">
        <w:rPr>
          <w:rFonts w:ascii="Times New Roman" w:hAnsi="Times New Roman" w:cs="Times New Roman"/>
          <w:sz w:val="24"/>
          <w:szCs w:val="24"/>
        </w:rPr>
        <w:t xml:space="preserve">a special committee </w:t>
      </w:r>
      <w:r w:rsidR="00DF70F4" w:rsidRPr="0042152F">
        <w:rPr>
          <w:rFonts w:ascii="Times New Roman" w:hAnsi="Times New Roman" w:cs="Times New Roman"/>
          <w:i/>
          <w:iCs/>
          <w:sz w:val="24"/>
          <w:szCs w:val="24"/>
        </w:rPr>
        <w:t>or</w:t>
      </w:r>
      <w:r w:rsidR="00DF70F4" w:rsidRPr="0042152F">
        <w:rPr>
          <w:rFonts w:ascii="Times New Roman" w:hAnsi="Times New Roman" w:cs="Times New Roman"/>
          <w:sz w:val="24"/>
          <w:szCs w:val="24"/>
        </w:rPr>
        <w:t xml:space="preserve"> a majority of </w:t>
      </w:r>
      <w:r w:rsidR="00DF70F4" w:rsidRPr="002F27C9">
        <w:rPr>
          <w:rFonts w:asciiTheme="majorBidi" w:hAnsiTheme="majorBidi" w:cstheme="majorBidi"/>
          <w:sz w:val="24"/>
          <w:szCs w:val="24"/>
        </w:rPr>
        <w:t>minority shareholders</w:t>
      </w:r>
      <w:r w:rsidR="00FE4388" w:rsidRPr="002F27C9">
        <w:rPr>
          <w:rFonts w:asciiTheme="majorBidi" w:hAnsiTheme="majorBidi" w:cstheme="majorBidi"/>
          <w:sz w:val="24"/>
          <w:szCs w:val="24"/>
        </w:rPr>
        <w:t xml:space="preserve">, the burden of </w:t>
      </w:r>
      <w:r w:rsidR="00236BA9" w:rsidRPr="002F27C9">
        <w:rPr>
          <w:rFonts w:asciiTheme="majorBidi" w:hAnsiTheme="majorBidi" w:cstheme="majorBidi"/>
          <w:sz w:val="24"/>
          <w:szCs w:val="24"/>
        </w:rPr>
        <w:t xml:space="preserve">persuasion </w:t>
      </w:r>
      <w:r w:rsidR="00FE4388" w:rsidRPr="002F27C9">
        <w:rPr>
          <w:rFonts w:asciiTheme="majorBidi" w:hAnsiTheme="majorBidi" w:cstheme="majorBidi"/>
          <w:sz w:val="24"/>
          <w:szCs w:val="24"/>
        </w:rPr>
        <w:t>would shift to the plaintiff, who would be required to show the transaction was unfair.</w:t>
      </w:r>
      <w:r w:rsidR="00FE4388" w:rsidRPr="002F27C9">
        <w:rPr>
          <w:rStyle w:val="FootnoteReference"/>
          <w:rFonts w:asciiTheme="majorBidi" w:hAnsiTheme="majorBidi" w:cstheme="majorBidi"/>
          <w:sz w:val="24"/>
          <w:szCs w:val="24"/>
        </w:rPr>
        <w:footnoteReference w:id="89"/>
      </w:r>
      <w:r w:rsidR="00AE1ACE" w:rsidRPr="002F27C9">
        <w:rPr>
          <w:rFonts w:asciiTheme="majorBidi" w:hAnsiTheme="majorBidi" w:cstheme="majorBidi"/>
          <w:sz w:val="24"/>
          <w:szCs w:val="24"/>
        </w:rPr>
        <w:t xml:space="preserve"> </w:t>
      </w:r>
      <w:r w:rsidR="0052745D">
        <w:rPr>
          <w:rFonts w:asciiTheme="majorBidi" w:hAnsiTheme="majorBidi" w:cstheme="majorBidi"/>
          <w:sz w:val="24"/>
          <w:szCs w:val="24"/>
        </w:rPr>
        <w:t>E</w:t>
      </w:r>
      <w:r w:rsidR="009C24D0" w:rsidRPr="002F27C9">
        <w:rPr>
          <w:rFonts w:asciiTheme="majorBidi" w:hAnsiTheme="majorBidi" w:cstheme="majorBidi"/>
          <w:sz w:val="24"/>
          <w:szCs w:val="24"/>
        </w:rPr>
        <w:t>ntire fairness</w:t>
      </w:r>
      <w:r w:rsidR="0052745D">
        <w:rPr>
          <w:rFonts w:asciiTheme="majorBidi" w:hAnsiTheme="majorBidi" w:cstheme="majorBidi"/>
          <w:sz w:val="24"/>
          <w:szCs w:val="24"/>
        </w:rPr>
        <w:t xml:space="preserve">, however, </w:t>
      </w:r>
      <w:r w:rsidR="0080727B">
        <w:rPr>
          <w:rFonts w:asciiTheme="majorBidi" w:hAnsiTheme="majorBidi" w:cstheme="majorBidi"/>
          <w:sz w:val="24"/>
          <w:szCs w:val="24"/>
        </w:rPr>
        <w:t>remained</w:t>
      </w:r>
      <w:r w:rsidR="0052745D">
        <w:rPr>
          <w:rFonts w:asciiTheme="majorBidi" w:hAnsiTheme="majorBidi" w:cstheme="majorBidi"/>
          <w:sz w:val="24"/>
          <w:szCs w:val="24"/>
        </w:rPr>
        <w:t xml:space="preserve"> the</w:t>
      </w:r>
      <w:r w:rsidR="009C24D0" w:rsidRPr="002F27C9">
        <w:rPr>
          <w:rFonts w:asciiTheme="majorBidi" w:hAnsiTheme="majorBidi" w:cstheme="majorBidi"/>
          <w:sz w:val="24"/>
          <w:szCs w:val="24"/>
        </w:rPr>
        <w:t xml:space="preserve"> standard of review</w:t>
      </w:r>
      <w:r w:rsidR="0052745D">
        <w:rPr>
          <w:rFonts w:asciiTheme="majorBidi" w:hAnsiTheme="majorBidi" w:cstheme="majorBidi"/>
          <w:sz w:val="24"/>
          <w:szCs w:val="24"/>
        </w:rPr>
        <w:t xml:space="preserve">, </w:t>
      </w:r>
      <w:r w:rsidR="0080727B">
        <w:rPr>
          <w:rFonts w:asciiTheme="majorBidi" w:hAnsiTheme="majorBidi" w:cstheme="majorBidi"/>
          <w:sz w:val="24"/>
          <w:szCs w:val="24"/>
        </w:rPr>
        <w:t>entailing</w:t>
      </w:r>
      <w:r w:rsidR="009C24D0" w:rsidRPr="002F27C9">
        <w:rPr>
          <w:rFonts w:asciiTheme="majorBidi" w:hAnsiTheme="majorBidi" w:cstheme="majorBidi"/>
          <w:sz w:val="24"/>
          <w:szCs w:val="24"/>
        </w:rPr>
        <w:t xml:space="preserve"> a full-blown trial </w:t>
      </w:r>
      <w:r w:rsidR="0080727B">
        <w:rPr>
          <w:rFonts w:asciiTheme="majorBidi" w:hAnsiTheme="majorBidi" w:cstheme="majorBidi"/>
          <w:sz w:val="24"/>
          <w:szCs w:val="24"/>
        </w:rPr>
        <w:t xml:space="preserve">and </w:t>
      </w:r>
      <w:r w:rsidR="009C24D0" w:rsidRPr="002F27C9">
        <w:rPr>
          <w:rFonts w:asciiTheme="majorBidi" w:hAnsiTheme="majorBidi" w:cstheme="majorBidi"/>
          <w:sz w:val="24"/>
          <w:szCs w:val="24"/>
        </w:rPr>
        <w:t xml:space="preserve">all the discovery that comes with it. The </w:t>
      </w:r>
      <w:r w:rsidR="009C24D0">
        <w:rPr>
          <w:rFonts w:asciiTheme="majorBidi" w:hAnsiTheme="majorBidi" w:cstheme="majorBidi"/>
          <w:sz w:val="24"/>
          <w:szCs w:val="24"/>
        </w:rPr>
        <w:t xml:space="preserve">only </w:t>
      </w:r>
      <w:r w:rsidR="009C24D0" w:rsidRPr="002F27C9">
        <w:rPr>
          <w:rFonts w:asciiTheme="majorBidi" w:hAnsiTheme="majorBidi" w:cstheme="majorBidi"/>
          <w:sz w:val="24"/>
          <w:szCs w:val="24"/>
        </w:rPr>
        <w:t xml:space="preserve">benefit to the controller from adopting one of the cleansing mechanisms </w:t>
      </w:r>
      <w:r w:rsidR="0080727B">
        <w:rPr>
          <w:rFonts w:asciiTheme="majorBidi" w:hAnsiTheme="majorBidi" w:cstheme="majorBidi"/>
          <w:sz w:val="24"/>
          <w:szCs w:val="24"/>
        </w:rPr>
        <w:t>wa</w:t>
      </w:r>
      <w:r w:rsidR="009C24D0" w:rsidRPr="002F27C9">
        <w:rPr>
          <w:rFonts w:asciiTheme="majorBidi" w:hAnsiTheme="majorBidi" w:cstheme="majorBidi"/>
          <w:sz w:val="24"/>
          <w:szCs w:val="24"/>
        </w:rPr>
        <w:t>s an improved probability of winning</w:t>
      </w:r>
      <w:r w:rsidR="00DF5849">
        <w:rPr>
          <w:rFonts w:asciiTheme="majorBidi" w:hAnsiTheme="majorBidi" w:cstheme="majorBidi"/>
          <w:sz w:val="24"/>
          <w:szCs w:val="24"/>
        </w:rPr>
        <w:t>:</w:t>
      </w:r>
      <w:r w:rsidR="00952A82">
        <w:rPr>
          <w:rFonts w:asciiTheme="majorBidi" w:hAnsiTheme="majorBidi" w:cstheme="majorBidi"/>
          <w:sz w:val="24"/>
          <w:szCs w:val="24"/>
        </w:rPr>
        <w:t xml:space="preserve"> </w:t>
      </w:r>
      <w:r w:rsidR="00DF5849">
        <w:rPr>
          <w:rFonts w:asciiTheme="majorBidi" w:hAnsiTheme="majorBidi" w:cstheme="majorBidi"/>
          <w:sz w:val="24"/>
          <w:szCs w:val="24"/>
        </w:rPr>
        <w:t>I</w:t>
      </w:r>
      <w:r w:rsidR="009C24D0" w:rsidRPr="002F27C9">
        <w:rPr>
          <w:rFonts w:asciiTheme="majorBidi" w:hAnsiTheme="majorBidi" w:cstheme="majorBidi"/>
          <w:sz w:val="24"/>
          <w:szCs w:val="24"/>
        </w:rPr>
        <w:t xml:space="preserve">f, at the end of the trial, the evidence of fairness is </w:t>
      </w:r>
      <w:r w:rsidR="0080727B">
        <w:rPr>
          <w:rFonts w:asciiTheme="majorBidi" w:hAnsiTheme="majorBidi" w:cstheme="majorBidi"/>
          <w:sz w:val="24"/>
          <w:szCs w:val="24"/>
        </w:rPr>
        <w:t>even</w:t>
      </w:r>
      <w:r w:rsidR="009C24D0" w:rsidRPr="002F27C9">
        <w:rPr>
          <w:rFonts w:asciiTheme="majorBidi" w:hAnsiTheme="majorBidi" w:cstheme="majorBidi"/>
          <w:sz w:val="24"/>
          <w:szCs w:val="24"/>
        </w:rPr>
        <w:t>, the plaintiff will lose because the burden of proof rests with them.</w:t>
      </w:r>
      <w:r w:rsidR="009C24D0">
        <w:rPr>
          <w:rFonts w:asciiTheme="majorBidi" w:hAnsiTheme="majorBidi" w:cstheme="majorBidi"/>
          <w:sz w:val="24"/>
          <w:szCs w:val="24"/>
        </w:rPr>
        <w:t xml:space="preserve"> </w:t>
      </w:r>
    </w:p>
    <w:p w14:paraId="27913197" w14:textId="326D7488" w:rsidR="00DF70F4" w:rsidRPr="0042152F" w:rsidRDefault="0080727B"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Ultimately</w:t>
      </w:r>
      <w:r w:rsidR="009E4526">
        <w:rPr>
          <w:rFonts w:ascii="Times New Roman" w:hAnsi="Times New Roman" w:cs="Times New Roman"/>
          <w:sz w:val="24"/>
          <w:szCs w:val="24"/>
        </w:rPr>
        <w:t>,</w:t>
      </w:r>
      <w:r>
        <w:rPr>
          <w:rFonts w:ascii="Times New Roman" w:hAnsi="Times New Roman" w:cs="Times New Roman"/>
          <w:sz w:val="24"/>
          <w:szCs w:val="24"/>
        </w:rPr>
        <w:t xml:space="preserve"> this</w:t>
      </w:r>
      <w:r w:rsidRPr="002F27C9">
        <w:rPr>
          <w:rFonts w:ascii="Times New Roman" w:hAnsi="Times New Roman" w:cs="Times New Roman"/>
          <w:sz w:val="24"/>
          <w:szCs w:val="24"/>
        </w:rPr>
        <w:t xml:space="preserve"> </w:t>
      </w:r>
      <w:r w:rsidR="009C4418" w:rsidRPr="002F27C9">
        <w:rPr>
          <w:rFonts w:ascii="Times New Roman" w:hAnsi="Times New Roman" w:cs="Times New Roman"/>
          <w:sz w:val="24"/>
          <w:szCs w:val="24"/>
        </w:rPr>
        <w:t xml:space="preserve">regime was </w:t>
      </w:r>
      <w:r>
        <w:rPr>
          <w:rFonts w:ascii="Times New Roman" w:hAnsi="Times New Roman" w:cs="Times New Roman"/>
          <w:sz w:val="24"/>
          <w:szCs w:val="24"/>
        </w:rPr>
        <w:t xml:space="preserve">criticized because it did not allow </w:t>
      </w:r>
      <w:r w:rsidR="006A3344" w:rsidRPr="002F27C9">
        <w:rPr>
          <w:rFonts w:ascii="Times New Roman" w:hAnsi="Times New Roman" w:cs="Times New Roman"/>
          <w:sz w:val="24"/>
          <w:szCs w:val="24"/>
        </w:rPr>
        <w:t xml:space="preserve">transactional planners </w:t>
      </w:r>
      <w:r>
        <w:rPr>
          <w:rFonts w:ascii="Times New Roman" w:hAnsi="Times New Roman" w:cs="Times New Roman"/>
          <w:sz w:val="24"/>
          <w:szCs w:val="24"/>
        </w:rPr>
        <w:t xml:space="preserve">a </w:t>
      </w:r>
      <w:r w:rsidR="009C4418" w:rsidRPr="002F27C9">
        <w:rPr>
          <w:rFonts w:ascii="Times New Roman" w:hAnsi="Times New Roman" w:cs="Times New Roman"/>
          <w:sz w:val="24"/>
          <w:szCs w:val="24"/>
        </w:rPr>
        <w:t>way to</w:t>
      </w:r>
      <w:r w:rsidR="009C4418" w:rsidRPr="0042152F">
        <w:rPr>
          <w:rFonts w:ascii="Times New Roman" w:hAnsi="Times New Roman" w:cs="Times New Roman"/>
          <w:sz w:val="24"/>
          <w:szCs w:val="24"/>
        </w:rPr>
        <w:t xml:space="preserve"> avoid entire fairness review</w:t>
      </w:r>
      <w:r>
        <w:rPr>
          <w:rFonts w:ascii="Times New Roman" w:hAnsi="Times New Roman" w:cs="Times New Roman"/>
          <w:sz w:val="24"/>
          <w:szCs w:val="24"/>
        </w:rPr>
        <w:t>; likewise,</w:t>
      </w:r>
      <w:r w:rsidR="0099311C">
        <w:rPr>
          <w:rFonts w:ascii="Times New Roman" w:hAnsi="Times New Roman" w:cs="Times New Roman"/>
          <w:sz w:val="24"/>
          <w:szCs w:val="24"/>
        </w:rPr>
        <w:t xml:space="preserve"> </w:t>
      </w:r>
      <w:r w:rsidR="00221033" w:rsidRPr="0042152F">
        <w:rPr>
          <w:rFonts w:ascii="Times New Roman" w:hAnsi="Times New Roman" w:cs="Times New Roman"/>
          <w:sz w:val="24"/>
          <w:szCs w:val="24"/>
        </w:rPr>
        <w:t>controllers had no reason to adopt more than one cleansing mechanism</w:t>
      </w:r>
      <w:r w:rsidR="009C4418" w:rsidRPr="0042152F">
        <w:rPr>
          <w:rFonts w:ascii="Times New Roman" w:hAnsi="Times New Roman" w:cs="Times New Roman"/>
          <w:sz w:val="24"/>
          <w:szCs w:val="24"/>
        </w:rPr>
        <w:t xml:space="preserve">. Under </w:t>
      </w:r>
      <w:r w:rsidR="009C4418" w:rsidRPr="0042152F">
        <w:rPr>
          <w:rFonts w:ascii="Times New Roman" w:hAnsi="Times New Roman" w:cs="Times New Roman"/>
          <w:i/>
          <w:iCs/>
          <w:sz w:val="24"/>
          <w:szCs w:val="24"/>
        </w:rPr>
        <w:t>Lynch</w:t>
      </w:r>
      <w:r w:rsidR="009C4418" w:rsidRPr="0042152F">
        <w:rPr>
          <w:rFonts w:ascii="Times New Roman" w:hAnsi="Times New Roman" w:cs="Times New Roman"/>
          <w:sz w:val="24"/>
          <w:szCs w:val="24"/>
        </w:rPr>
        <w:t xml:space="preserve">, controllers that utilized both </w:t>
      </w:r>
      <w:r w:rsidR="006A3344" w:rsidRPr="0042152F">
        <w:rPr>
          <w:rFonts w:ascii="Times New Roman" w:hAnsi="Times New Roman" w:cs="Times New Roman"/>
          <w:sz w:val="24"/>
          <w:szCs w:val="24"/>
        </w:rPr>
        <w:t xml:space="preserve">cleansing </w:t>
      </w:r>
      <w:r w:rsidR="009C4418" w:rsidRPr="0042152F">
        <w:rPr>
          <w:rFonts w:ascii="Times New Roman" w:hAnsi="Times New Roman" w:cs="Times New Roman"/>
          <w:sz w:val="24"/>
          <w:szCs w:val="24"/>
        </w:rPr>
        <w:t>mechanisms would receive no special credit</w:t>
      </w:r>
      <w:r w:rsidR="006A3344" w:rsidRPr="0042152F">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A3344" w:rsidRPr="0042152F">
        <w:rPr>
          <w:rFonts w:ascii="Times New Roman" w:hAnsi="Times New Roman" w:cs="Times New Roman"/>
          <w:sz w:val="24"/>
          <w:szCs w:val="24"/>
        </w:rPr>
        <w:t xml:space="preserve">so they </w:t>
      </w:r>
      <w:r>
        <w:rPr>
          <w:rFonts w:ascii="Times New Roman" w:hAnsi="Times New Roman" w:cs="Times New Roman"/>
          <w:sz w:val="24"/>
          <w:szCs w:val="24"/>
        </w:rPr>
        <w:t xml:space="preserve">generally </w:t>
      </w:r>
      <w:r w:rsidR="006A3344" w:rsidRPr="0042152F">
        <w:rPr>
          <w:rFonts w:ascii="Times New Roman" w:hAnsi="Times New Roman" w:cs="Times New Roman"/>
          <w:sz w:val="24"/>
          <w:szCs w:val="24"/>
        </w:rPr>
        <w:t>chose</w:t>
      </w:r>
      <w:r w:rsidR="009C4418" w:rsidRPr="0042152F">
        <w:rPr>
          <w:rFonts w:ascii="Times New Roman" w:hAnsi="Times New Roman" w:cs="Times New Roman"/>
          <w:sz w:val="24"/>
          <w:szCs w:val="24"/>
        </w:rPr>
        <w:t xml:space="preserve"> </w:t>
      </w:r>
      <w:r>
        <w:rPr>
          <w:rFonts w:ascii="Times New Roman" w:hAnsi="Times New Roman" w:cs="Times New Roman"/>
          <w:sz w:val="24"/>
          <w:szCs w:val="24"/>
        </w:rPr>
        <w:t>just one: negotiating</w:t>
      </w:r>
      <w:r w:rsidR="009C4418" w:rsidRPr="0042152F">
        <w:rPr>
          <w:rFonts w:ascii="Times New Roman" w:hAnsi="Times New Roman" w:cs="Times New Roman"/>
          <w:sz w:val="24"/>
          <w:szCs w:val="24"/>
        </w:rPr>
        <w:t xml:space="preserve"> against a special committee but </w:t>
      </w:r>
      <w:r w:rsidR="009C4418" w:rsidRPr="0042152F">
        <w:rPr>
          <w:rFonts w:ascii="Times New Roman" w:hAnsi="Times New Roman" w:cs="Times New Roman"/>
          <w:i/>
          <w:iCs/>
          <w:sz w:val="24"/>
          <w:szCs w:val="24"/>
        </w:rPr>
        <w:t xml:space="preserve">not </w:t>
      </w:r>
      <w:r w:rsidR="009C4418" w:rsidRPr="0042152F">
        <w:rPr>
          <w:rFonts w:ascii="Times New Roman" w:hAnsi="Times New Roman" w:cs="Times New Roman"/>
          <w:sz w:val="24"/>
          <w:szCs w:val="24"/>
        </w:rPr>
        <w:t>subject</w:t>
      </w:r>
      <w:r>
        <w:rPr>
          <w:rFonts w:ascii="Times New Roman" w:hAnsi="Times New Roman" w:cs="Times New Roman"/>
          <w:sz w:val="24"/>
          <w:szCs w:val="24"/>
        </w:rPr>
        <w:t>ing</w:t>
      </w:r>
      <w:r w:rsidR="009C4418" w:rsidRPr="0042152F">
        <w:rPr>
          <w:rFonts w:ascii="Times New Roman" w:hAnsi="Times New Roman" w:cs="Times New Roman"/>
          <w:sz w:val="24"/>
          <w:szCs w:val="24"/>
        </w:rPr>
        <w:t xml:space="preserve"> the transaction to approval by </w:t>
      </w:r>
      <w:r w:rsidR="00346A2A">
        <w:rPr>
          <w:rFonts w:ascii="Times New Roman" w:hAnsi="Times New Roman" w:cs="Times New Roman"/>
          <w:sz w:val="24"/>
          <w:szCs w:val="24"/>
        </w:rPr>
        <w:t xml:space="preserve">majority of minority </w:t>
      </w:r>
      <w:r w:rsidR="009C4418" w:rsidRPr="0042152F">
        <w:rPr>
          <w:rFonts w:ascii="Times New Roman" w:hAnsi="Times New Roman" w:cs="Times New Roman"/>
          <w:sz w:val="24"/>
          <w:szCs w:val="24"/>
        </w:rPr>
        <w:t>shareholders.</w:t>
      </w:r>
      <w:r w:rsidR="009C4418" w:rsidRPr="0042152F">
        <w:rPr>
          <w:rStyle w:val="FootnoteReference"/>
          <w:rFonts w:ascii="Times New Roman" w:hAnsi="Times New Roman" w:cs="Times New Roman"/>
          <w:sz w:val="24"/>
          <w:szCs w:val="24"/>
        </w:rPr>
        <w:footnoteReference w:id="90"/>
      </w:r>
    </w:p>
    <w:p w14:paraId="6209A3E7" w14:textId="0076BA4A" w:rsidR="00616597" w:rsidRPr="0042152F" w:rsidRDefault="00DF70F4"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In 2014, </w:t>
      </w:r>
      <w:r w:rsidR="004379D8" w:rsidRPr="0042152F">
        <w:rPr>
          <w:rFonts w:ascii="Times New Roman" w:hAnsi="Times New Roman" w:cs="Times New Roman"/>
          <w:sz w:val="24"/>
          <w:szCs w:val="24"/>
        </w:rPr>
        <w:t xml:space="preserve">Delaware upended the </w:t>
      </w:r>
      <w:r w:rsidRPr="0042152F">
        <w:rPr>
          <w:rFonts w:ascii="Times New Roman" w:hAnsi="Times New Roman" w:cs="Times New Roman"/>
          <w:sz w:val="24"/>
          <w:szCs w:val="24"/>
        </w:rPr>
        <w:t xml:space="preserve">standard of review for controller transactions with the </w:t>
      </w:r>
      <w:r w:rsidRPr="0042152F">
        <w:rPr>
          <w:rFonts w:ascii="Times New Roman" w:hAnsi="Times New Roman" w:cs="Times New Roman"/>
          <w:i/>
          <w:iCs/>
          <w:sz w:val="24"/>
          <w:szCs w:val="24"/>
        </w:rPr>
        <w:t>MFW</w:t>
      </w:r>
      <w:r w:rsidRPr="0042152F">
        <w:rPr>
          <w:rFonts w:ascii="Times New Roman" w:hAnsi="Times New Roman" w:cs="Times New Roman"/>
          <w:sz w:val="24"/>
          <w:szCs w:val="24"/>
        </w:rPr>
        <w:t xml:space="preserve"> decision. In that case, Ronald Perelman, the controlling shareholder of MacAndrews &amp; Forbes, conditioned his buyout of the MFW minority shareholders on </w:t>
      </w:r>
      <w:r w:rsidR="007B29DB" w:rsidRPr="0042152F">
        <w:rPr>
          <w:rFonts w:ascii="Times New Roman" w:hAnsi="Times New Roman" w:cs="Times New Roman"/>
          <w:sz w:val="24"/>
          <w:szCs w:val="24"/>
        </w:rPr>
        <w:t xml:space="preserve">the approval of </w:t>
      </w:r>
      <w:r w:rsidRPr="0042152F">
        <w:rPr>
          <w:rFonts w:ascii="Times New Roman" w:hAnsi="Times New Roman" w:cs="Times New Roman"/>
          <w:i/>
          <w:iCs/>
          <w:sz w:val="24"/>
          <w:szCs w:val="24"/>
        </w:rPr>
        <w:t>both</w:t>
      </w:r>
      <w:r w:rsidRPr="0042152F">
        <w:rPr>
          <w:rFonts w:ascii="Times New Roman" w:hAnsi="Times New Roman" w:cs="Times New Roman"/>
          <w:sz w:val="24"/>
          <w:szCs w:val="24"/>
        </w:rPr>
        <w:t xml:space="preserve"> a </w:t>
      </w:r>
      <w:r w:rsidR="007B29DB" w:rsidRPr="0042152F">
        <w:rPr>
          <w:rFonts w:ascii="Times New Roman" w:hAnsi="Times New Roman" w:cs="Times New Roman"/>
          <w:sz w:val="24"/>
          <w:szCs w:val="24"/>
        </w:rPr>
        <w:t xml:space="preserve">special </w:t>
      </w:r>
      <w:r w:rsidR="002A532F" w:rsidRPr="0042152F">
        <w:rPr>
          <w:rFonts w:ascii="Times New Roman" w:hAnsi="Times New Roman" w:cs="Times New Roman"/>
          <w:sz w:val="24"/>
          <w:szCs w:val="24"/>
        </w:rPr>
        <w:t>committee</w:t>
      </w:r>
      <w:r w:rsidRPr="0042152F">
        <w:rPr>
          <w:rFonts w:ascii="Times New Roman" w:hAnsi="Times New Roman" w:cs="Times New Roman"/>
          <w:sz w:val="24"/>
          <w:szCs w:val="24"/>
        </w:rPr>
        <w:t xml:space="preserve"> and </w:t>
      </w:r>
      <w:r w:rsidR="007B29DB" w:rsidRPr="0042152F">
        <w:rPr>
          <w:rFonts w:ascii="Times New Roman" w:hAnsi="Times New Roman" w:cs="Times New Roman"/>
          <w:sz w:val="24"/>
          <w:szCs w:val="24"/>
        </w:rPr>
        <w:t xml:space="preserve">majority of </w:t>
      </w:r>
      <w:r w:rsidRPr="0042152F">
        <w:rPr>
          <w:rFonts w:ascii="Times New Roman" w:hAnsi="Times New Roman" w:cs="Times New Roman"/>
          <w:sz w:val="24"/>
          <w:szCs w:val="24"/>
        </w:rPr>
        <w:t>minority shareholder</w:t>
      </w:r>
      <w:r w:rsidR="00754B02" w:rsidRPr="0042152F">
        <w:rPr>
          <w:rFonts w:ascii="Times New Roman" w:hAnsi="Times New Roman" w:cs="Times New Roman"/>
          <w:sz w:val="24"/>
          <w:szCs w:val="24"/>
        </w:rPr>
        <w:t>s</w:t>
      </w:r>
      <w:r w:rsidRPr="0042152F">
        <w:rPr>
          <w:rFonts w:ascii="Times New Roman" w:hAnsi="Times New Roman" w:cs="Times New Roman"/>
          <w:sz w:val="24"/>
          <w:szCs w:val="24"/>
        </w:rPr>
        <w:t>.</w:t>
      </w:r>
      <w:r w:rsidR="004379D8" w:rsidRPr="0042152F">
        <w:rPr>
          <w:rStyle w:val="FootnoteReference"/>
          <w:rFonts w:ascii="Times New Roman" w:hAnsi="Times New Roman" w:cs="Times New Roman"/>
          <w:sz w:val="24"/>
          <w:szCs w:val="24"/>
        </w:rPr>
        <w:footnoteReference w:id="91"/>
      </w:r>
      <w:r w:rsidRPr="0042152F">
        <w:rPr>
          <w:rFonts w:ascii="Times New Roman" w:hAnsi="Times New Roman" w:cs="Times New Roman"/>
          <w:sz w:val="24"/>
          <w:szCs w:val="24"/>
        </w:rPr>
        <w:t xml:space="preserve"> In the ensuing litigation, the defendants argued that the imposition of these two procedural protections converted the transaction into an arms-length merger, and as such, </w:t>
      </w:r>
      <w:r w:rsidR="00F215CF" w:rsidRPr="0042152F">
        <w:rPr>
          <w:rFonts w:ascii="Times New Roman" w:hAnsi="Times New Roman" w:cs="Times New Roman"/>
          <w:sz w:val="24"/>
          <w:szCs w:val="24"/>
        </w:rPr>
        <w:t xml:space="preserve">the transaction </w:t>
      </w:r>
      <w:r w:rsidRPr="0042152F">
        <w:rPr>
          <w:rFonts w:ascii="Times New Roman" w:hAnsi="Times New Roman" w:cs="Times New Roman"/>
          <w:sz w:val="24"/>
          <w:szCs w:val="24"/>
        </w:rPr>
        <w:t>was entitled to the business judgment rule</w:t>
      </w:r>
      <w:r w:rsidR="00184642" w:rsidRPr="0042152F">
        <w:rPr>
          <w:rFonts w:ascii="Times New Roman" w:hAnsi="Times New Roman" w:cs="Times New Roman"/>
          <w:sz w:val="24"/>
          <w:szCs w:val="24"/>
        </w:rPr>
        <w:t>.</w:t>
      </w:r>
      <w:r w:rsidR="00797A5B" w:rsidRPr="0042152F">
        <w:rPr>
          <w:rStyle w:val="FootnoteReference"/>
          <w:rFonts w:ascii="Times New Roman" w:hAnsi="Times New Roman" w:cs="Times New Roman"/>
          <w:sz w:val="24"/>
          <w:szCs w:val="24"/>
        </w:rPr>
        <w:footnoteReference w:id="92"/>
      </w:r>
      <w:r w:rsidR="00184642" w:rsidRPr="0042152F">
        <w:rPr>
          <w:rFonts w:ascii="Times New Roman" w:hAnsi="Times New Roman" w:cs="Times New Roman"/>
          <w:sz w:val="24"/>
          <w:szCs w:val="24"/>
        </w:rPr>
        <w:t xml:space="preserve"> </w:t>
      </w:r>
      <w:r w:rsidR="0099311C">
        <w:rPr>
          <w:rFonts w:ascii="Times New Roman" w:hAnsi="Times New Roman" w:cs="Times New Roman"/>
          <w:sz w:val="24"/>
          <w:szCs w:val="24"/>
        </w:rPr>
        <w:t>T</w:t>
      </w:r>
      <w:r w:rsidR="007B29DB" w:rsidRPr="0042152F">
        <w:rPr>
          <w:rFonts w:ascii="Times New Roman" w:eastAsia="NewBaskervilleITCPro-Roman" w:hAnsi="Times New Roman" w:cs="Times New Roman"/>
          <w:kern w:val="0"/>
          <w:sz w:val="24"/>
          <w:szCs w:val="24"/>
        </w:rPr>
        <w:t>he business judgment rule is highly deferential to management, allowing courts to interfere only if a decision has no rational basis.</w:t>
      </w:r>
      <w:r w:rsidR="007B29DB" w:rsidRPr="0042152F">
        <w:rPr>
          <w:rStyle w:val="FootnoteReference"/>
          <w:rFonts w:ascii="Times New Roman" w:eastAsia="NewBaskervilleITCPro-Roman" w:hAnsi="Times New Roman" w:cs="Times New Roman"/>
          <w:kern w:val="0"/>
          <w:sz w:val="24"/>
          <w:szCs w:val="24"/>
        </w:rPr>
        <w:footnoteReference w:id="93"/>
      </w:r>
      <w:r w:rsidR="007B29DB" w:rsidRPr="0042152F">
        <w:rPr>
          <w:rFonts w:ascii="Times New Roman" w:hAnsi="Times New Roman" w:cs="Times New Roman"/>
          <w:sz w:val="24"/>
          <w:szCs w:val="24"/>
        </w:rPr>
        <w:t xml:space="preserve"> </w:t>
      </w:r>
      <w:r w:rsidR="003D53C6" w:rsidRPr="003D53C6">
        <w:rPr>
          <w:rFonts w:ascii="Times New Roman" w:hAnsi="Times New Roman" w:cs="Times New Roman"/>
          <w:sz w:val="24"/>
          <w:szCs w:val="24"/>
        </w:rPr>
        <w:t>Importantly, under the business judgment rule, the defendant can file a motion to dismiss the claim, thereby avoiding discovery and trial.</w:t>
      </w:r>
      <w:r w:rsidR="003D53C6">
        <w:rPr>
          <w:rFonts w:ascii="Times New Roman" w:hAnsi="Times New Roman" w:cs="Times New Roman"/>
          <w:sz w:val="24"/>
          <w:szCs w:val="24"/>
        </w:rPr>
        <w:t xml:space="preserve"> </w:t>
      </w:r>
      <w:r w:rsidR="005065F4" w:rsidRPr="0042152F">
        <w:rPr>
          <w:rFonts w:ascii="Times New Roman" w:hAnsi="Times New Roman" w:cs="Times New Roman"/>
          <w:sz w:val="24"/>
          <w:szCs w:val="24"/>
        </w:rPr>
        <w:t>T</w:t>
      </w:r>
      <w:r w:rsidR="00D50365" w:rsidRPr="0042152F">
        <w:rPr>
          <w:rFonts w:ascii="Times New Roman" w:hAnsi="Times New Roman" w:cs="Times New Roman"/>
          <w:sz w:val="24"/>
          <w:szCs w:val="24"/>
        </w:rPr>
        <w:t xml:space="preserve">he Delaware </w:t>
      </w:r>
      <w:r w:rsidR="005065F4" w:rsidRPr="0042152F">
        <w:rPr>
          <w:rFonts w:ascii="Times New Roman" w:hAnsi="Times New Roman" w:cs="Times New Roman"/>
          <w:sz w:val="24"/>
          <w:szCs w:val="24"/>
        </w:rPr>
        <w:t xml:space="preserve">Chancery and </w:t>
      </w:r>
      <w:r w:rsidR="00D50365" w:rsidRPr="0042152F">
        <w:rPr>
          <w:rFonts w:ascii="Times New Roman" w:hAnsi="Times New Roman" w:cs="Times New Roman"/>
          <w:sz w:val="24"/>
          <w:szCs w:val="24"/>
        </w:rPr>
        <w:t>Supreme Court</w:t>
      </w:r>
      <w:r w:rsidR="007B29DB" w:rsidRPr="0042152F">
        <w:rPr>
          <w:rFonts w:ascii="Times New Roman" w:hAnsi="Times New Roman" w:cs="Times New Roman"/>
          <w:sz w:val="24"/>
          <w:szCs w:val="24"/>
        </w:rPr>
        <w:t xml:space="preserve"> accepted the defendant’s arguments that the dual procedural protections caused the transaction to resemble an arm’s-length merger, obviating the need for judicial review.</w:t>
      </w:r>
      <w:r w:rsidRPr="0042152F">
        <w:rPr>
          <w:rStyle w:val="FootnoteReference"/>
          <w:rFonts w:ascii="Times New Roman" w:hAnsi="Times New Roman" w:cs="Times New Roman"/>
          <w:sz w:val="24"/>
          <w:szCs w:val="24"/>
        </w:rPr>
        <w:footnoteReference w:id="94"/>
      </w:r>
      <w:r w:rsidR="0017701B" w:rsidRPr="0042152F">
        <w:rPr>
          <w:rFonts w:ascii="Times New Roman" w:hAnsi="Times New Roman" w:cs="Times New Roman"/>
          <w:sz w:val="24"/>
          <w:szCs w:val="24"/>
        </w:rPr>
        <w:t xml:space="preserve"> </w:t>
      </w:r>
    </w:p>
    <w:p w14:paraId="10422966" w14:textId="587E5C00" w:rsidR="00616597" w:rsidRPr="0042152F" w:rsidRDefault="00F055B1" w:rsidP="00B54C7C">
      <w:pPr>
        <w:spacing w:after="0" w:line="360" w:lineRule="auto"/>
        <w:ind w:firstLine="720"/>
        <w:jc w:val="both"/>
        <w:rPr>
          <w:rFonts w:ascii="Times New Roman" w:eastAsia="NewBaskervilleITCPro-Roman" w:hAnsi="Times New Roman" w:cs="Times New Roman"/>
          <w:kern w:val="0"/>
          <w:sz w:val="24"/>
          <w:szCs w:val="24"/>
        </w:rPr>
      </w:pPr>
      <w:r w:rsidRPr="0042152F">
        <w:rPr>
          <w:rFonts w:ascii="Times New Roman" w:eastAsia="NewBaskervilleITCPro-Roman" w:hAnsi="Times New Roman" w:cs="Times New Roman"/>
          <w:kern w:val="0"/>
          <w:sz w:val="24"/>
          <w:szCs w:val="24"/>
        </w:rPr>
        <w:t>Delaware law</w:t>
      </w:r>
      <w:r w:rsidR="00A9207E" w:rsidRPr="0042152F">
        <w:rPr>
          <w:rFonts w:ascii="Times New Roman" w:eastAsia="NewBaskervilleITCPro-Roman" w:hAnsi="Times New Roman" w:cs="Times New Roman"/>
          <w:kern w:val="0"/>
          <w:sz w:val="24"/>
          <w:szCs w:val="24"/>
        </w:rPr>
        <w:t xml:space="preserve"> has therefore</w:t>
      </w:r>
      <w:r w:rsidRPr="0042152F">
        <w:rPr>
          <w:rFonts w:ascii="Times New Roman" w:eastAsia="NewBaskervilleITCPro-Roman" w:hAnsi="Times New Roman" w:cs="Times New Roman"/>
          <w:kern w:val="0"/>
          <w:sz w:val="24"/>
          <w:szCs w:val="24"/>
        </w:rPr>
        <w:t xml:space="preserve"> </w:t>
      </w:r>
      <w:r w:rsidR="00A9207E" w:rsidRPr="0042152F">
        <w:rPr>
          <w:rFonts w:ascii="Times New Roman" w:eastAsia="NewBaskervilleITCPro-Roman" w:hAnsi="Times New Roman" w:cs="Times New Roman"/>
          <w:kern w:val="0"/>
          <w:sz w:val="24"/>
          <w:szCs w:val="24"/>
        </w:rPr>
        <w:t xml:space="preserve">given </w:t>
      </w:r>
      <w:r w:rsidRPr="0042152F">
        <w:rPr>
          <w:rFonts w:ascii="Times New Roman" w:eastAsia="NewBaskervilleITCPro-Roman" w:hAnsi="Times New Roman" w:cs="Times New Roman"/>
          <w:kern w:val="0"/>
          <w:sz w:val="24"/>
          <w:szCs w:val="24"/>
        </w:rPr>
        <w:t xml:space="preserve">controlling shareholders </w:t>
      </w:r>
      <w:r w:rsidR="00A9207E" w:rsidRPr="0042152F">
        <w:rPr>
          <w:rFonts w:ascii="Times New Roman" w:eastAsia="NewBaskervilleITCPro-Roman" w:hAnsi="Times New Roman" w:cs="Times New Roman"/>
          <w:kern w:val="0"/>
          <w:sz w:val="24"/>
          <w:szCs w:val="24"/>
        </w:rPr>
        <w:t xml:space="preserve">that engage </w:t>
      </w:r>
      <w:r w:rsidRPr="0042152F">
        <w:rPr>
          <w:rFonts w:ascii="Times New Roman" w:eastAsia="NewBaskervilleITCPro-Roman" w:hAnsi="Times New Roman" w:cs="Times New Roman"/>
          <w:kern w:val="0"/>
          <w:sz w:val="24"/>
          <w:szCs w:val="24"/>
        </w:rPr>
        <w:t xml:space="preserve">in self-dealing a choice: They can either </w:t>
      </w:r>
      <w:r w:rsidR="00A40D75">
        <w:rPr>
          <w:rFonts w:ascii="Times New Roman" w:eastAsia="NewBaskervilleITCPro-Roman" w:hAnsi="Times New Roman" w:cs="Times New Roman"/>
          <w:kern w:val="0"/>
          <w:sz w:val="24"/>
          <w:szCs w:val="24"/>
        </w:rPr>
        <w:t>accept</w:t>
      </w:r>
      <w:r w:rsidR="000505E3" w:rsidRPr="0042152F">
        <w:rPr>
          <w:rFonts w:ascii="Times New Roman" w:eastAsia="NewBaskervilleITCPro-Roman" w:hAnsi="Times New Roman" w:cs="Times New Roman"/>
          <w:kern w:val="0"/>
          <w:sz w:val="24"/>
          <w:szCs w:val="24"/>
        </w:rPr>
        <w:t xml:space="preserve"> </w:t>
      </w:r>
      <w:r w:rsidRPr="0042152F">
        <w:rPr>
          <w:rFonts w:ascii="Times New Roman" w:eastAsia="NewBaskervilleITCPro-Roman" w:hAnsi="Times New Roman" w:cs="Times New Roman"/>
          <w:kern w:val="0"/>
          <w:sz w:val="24"/>
          <w:szCs w:val="24"/>
        </w:rPr>
        <w:t xml:space="preserve">a judicial evaluation of </w:t>
      </w:r>
      <w:r w:rsidR="00935CB2" w:rsidRPr="0042152F">
        <w:rPr>
          <w:rFonts w:ascii="Times New Roman" w:eastAsia="NewBaskervilleITCPro-Roman" w:hAnsi="Times New Roman" w:cs="Times New Roman"/>
          <w:kern w:val="0"/>
          <w:sz w:val="24"/>
          <w:szCs w:val="24"/>
        </w:rPr>
        <w:t xml:space="preserve">the transaction’s </w:t>
      </w:r>
      <w:r w:rsidRPr="0042152F">
        <w:rPr>
          <w:rFonts w:ascii="Times New Roman" w:eastAsia="NewBaskervilleITCPro-Roman" w:hAnsi="Times New Roman" w:cs="Times New Roman"/>
          <w:kern w:val="0"/>
          <w:sz w:val="24"/>
          <w:szCs w:val="24"/>
        </w:rPr>
        <w:t xml:space="preserve">fairness or </w:t>
      </w:r>
      <w:r w:rsidR="007B29DB" w:rsidRPr="0042152F">
        <w:rPr>
          <w:rFonts w:ascii="Times New Roman" w:eastAsia="NewBaskervilleITCPro-Roman" w:hAnsi="Times New Roman" w:cs="Times New Roman"/>
          <w:kern w:val="0"/>
          <w:sz w:val="24"/>
          <w:szCs w:val="24"/>
        </w:rPr>
        <w:t>avoid</w:t>
      </w:r>
      <w:r w:rsidRPr="0042152F">
        <w:rPr>
          <w:rFonts w:ascii="Times New Roman" w:eastAsia="NewBaskervilleITCPro-Roman" w:hAnsi="Times New Roman" w:cs="Times New Roman"/>
          <w:kern w:val="0"/>
          <w:sz w:val="24"/>
          <w:szCs w:val="24"/>
        </w:rPr>
        <w:t xml:space="preserve"> such judicial review by voluntarily agreeing to a set of procedural conditions.</w:t>
      </w:r>
      <w:r w:rsidR="00D50365" w:rsidRPr="0042152F">
        <w:rPr>
          <w:rFonts w:ascii="Times New Roman" w:eastAsia="NewBaskervilleITCPro-Roman" w:hAnsi="Times New Roman" w:cs="Times New Roman"/>
          <w:kern w:val="0"/>
          <w:sz w:val="24"/>
          <w:szCs w:val="24"/>
        </w:rPr>
        <w:t xml:space="preserve"> Depending </w:t>
      </w:r>
      <w:r w:rsidRPr="0042152F">
        <w:rPr>
          <w:rFonts w:ascii="Times New Roman" w:eastAsia="NewBaskervilleITCPro-Roman" w:hAnsi="Times New Roman" w:cs="Times New Roman"/>
          <w:kern w:val="0"/>
          <w:sz w:val="24"/>
          <w:szCs w:val="24"/>
        </w:rPr>
        <w:t>on the controller’s decision, Delaware courts will apply one of three alternative frameworks to cases of self-dealing:</w:t>
      </w:r>
      <w:r w:rsidRPr="0042152F">
        <w:rPr>
          <w:rStyle w:val="FootnoteReference"/>
          <w:rFonts w:ascii="Times New Roman" w:eastAsia="NewBaskervilleITCPro-Roman" w:hAnsi="Times New Roman" w:cs="Times New Roman"/>
          <w:kern w:val="0"/>
          <w:sz w:val="24"/>
          <w:szCs w:val="24"/>
        </w:rPr>
        <w:footnoteReference w:id="95"/>
      </w:r>
      <w:r w:rsidRPr="0042152F">
        <w:rPr>
          <w:rFonts w:ascii="Times New Roman" w:eastAsia="NewBaskervilleITCPro-Roman" w:hAnsi="Times New Roman" w:cs="Times New Roman"/>
          <w:kern w:val="0"/>
          <w:sz w:val="24"/>
          <w:szCs w:val="24"/>
        </w:rPr>
        <w:t xml:space="preserve"> (1) entire fairness review</w:t>
      </w:r>
      <w:r w:rsidR="0045126C" w:rsidRPr="0042152F">
        <w:rPr>
          <w:rFonts w:ascii="Times New Roman" w:eastAsia="NewBaskervilleITCPro-Roman" w:hAnsi="Times New Roman" w:cs="Times New Roman"/>
          <w:kern w:val="0"/>
          <w:sz w:val="24"/>
          <w:szCs w:val="24"/>
        </w:rPr>
        <w:t xml:space="preserve"> with the burden on the defendants to prove fairness</w:t>
      </w:r>
      <w:r w:rsidR="00D50365" w:rsidRPr="0042152F">
        <w:rPr>
          <w:rFonts w:ascii="Times New Roman" w:eastAsia="NewBaskervilleITCPro-Roman" w:hAnsi="Times New Roman" w:cs="Times New Roman"/>
          <w:kern w:val="0"/>
          <w:sz w:val="24"/>
          <w:szCs w:val="24"/>
        </w:rPr>
        <w:t xml:space="preserve"> when no cleansing mechanisms are used</w:t>
      </w:r>
      <w:r w:rsidRPr="0042152F">
        <w:rPr>
          <w:rFonts w:ascii="Times New Roman" w:eastAsia="NewBaskervilleITCPro-Roman" w:hAnsi="Times New Roman" w:cs="Times New Roman"/>
          <w:kern w:val="0"/>
          <w:sz w:val="24"/>
          <w:szCs w:val="24"/>
        </w:rPr>
        <w:t xml:space="preserve">, (2) review under the business judgment rule if both cleansing </w:t>
      </w:r>
      <w:r w:rsidRPr="0042152F">
        <w:rPr>
          <w:rFonts w:ascii="Times New Roman" w:eastAsia="NewBaskervilleITCPro-Roman" w:hAnsi="Times New Roman" w:cs="Times New Roman"/>
          <w:kern w:val="0"/>
          <w:sz w:val="24"/>
          <w:szCs w:val="24"/>
        </w:rPr>
        <w:lastRenderedPageBreak/>
        <w:t>mechanisms are used,</w:t>
      </w:r>
      <w:r w:rsidR="00A07622" w:rsidRPr="0042152F">
        <w:rPr>
          <w:rStyle w:val="FootnoteReference"/>
          <w:rFonts w:ascii="Times New Roman" w:eastAsia="NewBaskervilleITCPro-Roman" w:hAnsi="Times New Roman" w:cs="Times New Roman"/>
          <w:kern w:val="0"/>
          <w:sz w:val="24"/>
          <w:szCs w:val="24"/>
        </w:rPr>
        <w:footnoteReference w:id="96"/>
      </w:r>
      <w:r w:rsidRPr="0042152F">
        <w:rPr>
          <w:rFonts w:ascii="Times New Roman" w:eastAsia="NewBaskervilleITCPro-Roman" w:hAnsi="Times New Roman" w:cs="Times New Roman"/>
          <w:kern w:val="0"/>
          <w:sz w:val="24"/>
          <w:szCs w:val="24"/>
        </w:rPr>
        <w:t xml:space="preserve"> or (3) entire fairness review with a shift of the burden of </w:t>
      </w:r>
      <w:r w:rsidR="001B6F71" w:rsidRPr="0042152F">
        <w:rPr>
          <w:rFonts w:ascii="Times New Roman" w:eastAsia="NewBaskervilleITCPro-Roman" w:hAnsi="Times New Roman" w:cs="Times New Roman"/>
          <w:kern w:val="0"/>
          <w:sz w:val="24"/>
          <w:szCs w:val="24"/>
        </w:rPr>
        <w:t>persua</w:t>
      </w:r>
      <w:r w:rsidR="00D708CF" w:rsidRPr="0042152F">
        <w:rPr>
          <w:rFonts w:ascii="Times New Roman" w:eastAsia="NewBaskervilleITCPro-Roman" w:hAnsi="Times New Roman" w:cs="Times New Roman"/>
          <w:kern w:val="0"/>
          <w:sz w:val="24"/>
          <w:szCs w:val="24"/>
        </w:rPr>
        <w:t>s</w:t>
      </w:r>
      <w:r w:rsidR="001B6F71" w:rsidRPr="0042152F">
        <w:rPr>
          <w:rFonts w:ascii="Times New Roman" w:eastAsia="NewBaskervilleITCPro-Roman" w:hAnsi="Times New Roman" w:cs="Times New Roman"/>
          <w:kern w:val="0"/>
          <w:sz w:val="24"/>
          <w:szCs w:val="24"/>
        </w:rPr>
        <w:t xml:space="preserve">ion </w:t>
      </w:r>
      <w:r w:rsidRPr="0042152F">
        <w:rPr>
          <w:rFonts w:ascii="Times New Roman" w:eastAsia="NewBaskervilleITCPro-Roman" w:hAnsi="Times New Roman" w:cs="Times New Roman"/>
          <w:kern w:val="0"/>
          <w:sz w:val="24"/>
          <w:szCs w:val="24"/>
        </w:rPr>
        <w:t>to the plaintiff if only one cleansing mechanism is present.</w:t>
      </w:r>
      <w:r w:rsidRPr="0042152F">
        <w:rPr>
          <w:rStyle w:val="FootnoteReference"/>
          <w:rFonts w:ascii="Times New Roman" w:eastAsia="NewBaskervilleITCPro-Roman" w:hAnsi="Times New Roman" w:cs="Times New Roman"/>
          <w:kern w:val="0"/>
          <w:sz w:val="24"/>
          <w:szCs w:val="24"/>
        </w:rPr>
        <w:footnoteReference w:id="97"/>
      </w:r>
      <w:r w:rsidRPr="0042152F">
        <w:rPr>
          <w:rFonts w:ascii="Times New Roman" w:eastAsia="NewBaskervilleITCPro-Roman" w:hAnsi="Times New Roman" w:cs="Times New Roman"/>
          <w:kern w:val="0"/>
          <w:sz w:val="24"/>
          <w:szCs w:val="24"/>
        </w:rPr>
        <w:t xml:space="preserve"> </w:t>
      </w:r>
    </w:p>
    <w:p w14:paraId="4279D1A6" w14:textId="2AF8E306" w:rsidR="0080727B" w:rsidRDefault="00645643"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FE2C83" w:rsidRPr="0042152F">
        <w:rPr>
          <w:rFonts w:ascii="Times New Roman" w:hAnsi="Times New Roman" w:cs="Times New Roman"/>
          <w:sz w:val="24"/>
          <w:szCs w:val="24"/>
        </w:rPr>
        <w:t>his regime appeared to let controllers (and courts) bypass judicial valuatio</w:t>
      </w:r>
      <w:r w:rsidR="00A9207E" w:rsidRPr="0042152F">
        <w:rPr>
          <w:rFonts w:ascii="Times New Roman" w:hAnsi="Times New Roman" w:cs="Times New Roman"/>
          <w:sz w:val="24"/>
          <w:szCs w:val="24"/>
        </w:rPr>
        <w:t xml:space="preserve">n whenever </w:t>
      </w:r>
      <w:r w:rsidR="000A7211" w:rsidRPr="0042152F">
        <w:rPr>
          <w:rFonts w:ascii="Times New Roman" w:hAnsi="Times New Roman" w:cs="Times New Roman"/>
          <w:sz w:val="24"/>
          <w:szCs w:val="24"/>
        </w:rPr>
        <w:t xml:space="preserve">minority shareholders approved the transaction after </w:t>
      </w:r>
      <w:r w:rsidR="00FE2C83" w:rsidRPr="0042152F">
        <w:rPr>
          <w:rFonts w:ascii="Times New Roman" w:hAnsi="Times New Roman" w:cs="Times New Roman"/>
          <w:sz w:val="24"/>
          <w:szCs w:val="24"/>
        </w:rPr>
        <w:t xml:space="preserve">a special committee </w:t>
      </w:r>
      <w:r w:rsidR="0080727B">
        <w:rPr>
          <w:rFonts w:ascii="Times New Roman" w:hAnsi="Times New Roman" w:cs="Times New Roman"/>
          <w:sz w:val="24"/>
          <w:szCs w:val="24"/>
        </w:rPr>
        <w:t xml:space="preserve">had </w:t>
      </w:r>
      <w:r w:rsidR="00A9207E" w:rsidRPr="0042152F">
        <w:rPr>
          <w:rFonts w:ascii="Times New Roman" w:hAnsi="Times New Roman" w:cs="Times New Roman"/>
          <w:sz w:val="24"/>
          <w:szCs w:val="24"/>
        </w:rPr>
        <w:t xml:space="preserve">negotiated </w:t>
      </w:r>
      <w:r w:rsidR="000A7211" w:rsidRPr="0042152F">
        <w:rPr>
          <w:rFonts w:ascii="Times New Roman" w:hAnsi="Times New Roman" w:cs="Times New Roman"/>
          <w:sz w:val="24"/>
          <w:szCs w:val="24"/>
        </w:rPr>
        <w:t xml:space="preserve">its </w:t>
      </w:r>
      <w:r w:rsidR="00FE2C83" w:rsidRPr="0042152F">
        <w:rPr>
          <w:rFonts w:ascii="Times New Roman" w:hAnsi="Times New Roman" w:cs="Times New Roman"/>
          <w:sz w:val="24"/>
          <w:szCs w:val="24"/>
        </w:rPr>
        <w:t xml:space="preserve">terms. </w:t>
      </w:r>
      <w:r w:rsidR="0080727B">
        <w:rPr>
          <w:rFonts w:ascii="Times New Roman" w:hAnsi="Times New Roman" w:cs="Times New Roman"/>
          <w:sz w:val="24"/>
          <w:szCs w:val="24"/>
        </w:rPr>
        <w:t>Moreover</w:t>
      </w:r>
      <w:r w:rsidR="0075428E" w:rsidRPr="0042152F">
        <w:rPr>
          <w:rFonts w:ascii="Times New Roman" w:hAnsi="Times New Roman" w:cs="Times New Roman"/>
          <w:sz w:val="24"/>
          <w:szCs w:val="24"/>
        </w:rPr>
        <w:t xml:space="preserve">, </w:t>
      </w:r>
      <w:r w:rsidR="0075428E" w:rsidRPr="0042152F">
        <w:rPr>
          <w:rFonts w:ascii="Times New Roman" w:hAnsi="Times New Roman" w:cs="Times New Roman"/>
          <w:i/>
          <w:iCs/>
          <w:sz w:val="24"/>
          <w:szCs w:val="24"/>
        </w:rPr>
        <w:t>MFW</w:t>
      </w:r>
      <w:r w:rsidR="0075428E" w:rsidRPr="0042152F">
        <w:rPr>
          <w:rFonts w:ascii="Times New Roman" w:hAnsi="Times New Roman" w:cs="Times New Roman"/>
          <w:sz w:val="24"/>
          <w:szCs w:val="24"/>
        </w:rPr>
        <w:t xml:space="preserve"> made it difficult for </w:t>
      </w:r>
      <w:r w:rsidR="00AE49F0" w:rsidRPr="0042152F">
        <w:rPr>
          <w:rFonts w:ascii="Times New Roman" w:hAnsi="Times New Roman" w:cs="Times New Roman"/>
          <w:sz w:val="24"/>
          <w:szCs w:val="24"/>
        </w:rPr>
        <w:t xml:space="preserve">plaintiffs to challenge the special committee </w:t>
      </w:r>
      <w:r w:rsidR="009A38A1" w:rsidRPr="0042152F">
        <w:rPr>
          <w:rFonts w:ascii="Times New Roman" w:hAnsi="Times New Roman" w:cs="Times New Roman"/>
          <w:sz w:val="24"/>
          <w:szCs w:val="24"/>
        </w:rPr>
        <w:t>condition</w:t>
      </w:r>
      <w:r w:rsidR="004644CF">
        <w:rPr>
          <w:rFonts w:ascii="Times New Roman" w:hAnsi="Times New Roman" w:cs="Times New Roman"/>
          <w:sz w:val="24"/>
          <w:szCs w:val="24"/>
        </w:rPr>
        <w:t>. T</w:t>
      </w:r>
      <w:r w:rsidR="00062BC2" w:rsidRPr="0042152F">
        <w:rPr>
          <w:rFonts w:ascii="Times New Roman" w:hAnsi="Times New Roman" w:cs="Times New Roman"/>
          <w:sz w:val="24"/>
          <w:szCs w:val="24"/>
        </w:rPr>
        <w:t xml:space="preserve">he test for assessing special committee effectiveness under the </w:t>
      </w:r>
      <w:r w:rsidR="00062BC2" w:rsidRPr="0042152F">
        <w:rPr>
          <w:rFonts w:ascii="Times New Roman" w:hAnsi="Times New Roman" w:cs="Times New Roman"/>
          <w:i/>
          <w:iCs/>
          <w:sz w:val="24"/>
          <w:szCs w:val="24"/>
        </w:rPr>
        <w:t>MFW</w:t>
      </w:r>
      <w:r w:rsidR="00062BC2" w:rsidRPr="0042152F">
        <w:rPr>
          <w:rFonts w:ascii="Times New Roman" w:hAnsi="Times New Roman" w:cs="Times New Roman"/>
          <w:sz w:val="24"/>
          <w:szCs w:val="24"/>
        </w:rPr>
        <w:t xml:space="preserve"> analysis is “whether the committee was sufficiently informed and exercised reasonable care</w:t>
      </w:r>
      <w:r w:rsidR="004644CF">
        <w:rPr>
          <w:rFonts w:ascii="Times New Roman" w:hAnsi="Times New Roman" w:cs="Times New Roman"/>
          <w:sz w:val="24"/>
          <w:szCs w:val="24"/>
        </w:rPr>
        <w:t>,</w:t>
      </w:r>
      <w:r w:rsidR="00062BC2" w:rsidRPr="0042152F">
        <w:rPr>
          <w:rFonts w:ascii="Times New Roman" w:hAnsi="Times New Roman" w:cs="Times New Roman"/>
          <w:sz w:val="24"/>
          <w:szCs w:val="24"/>
        </w:rPr>
        <w:t>”</w:t>
      </w:r>
      <w:r w:rsidR="00062BC2" w:rsidRPr="0042152F">
        <w:rPr>
          <w:rStyle w:val="FootnoteReference"/>
          <w:rFonts w:ascii="Times New Roman" w:hAnsi="Times New Roman" w:cs="Times New Roman"/>
          <w:sz w:val="24"/>
          <w:szCs w:val="24"/>
        </w:rPr>
        <w:footnoteReference w:id="98"/>
      </w:r>
      <w:r w:rsidR="00062BC2" w:rsidRPr="0042152F">
        <w:rPr>
          <w:rFonts w:ascii="Times New Roman" w:hAnsi="Times New Roman" w:cs="Times New Roman"/>
          <w:sz w:val="24"/>
          <w:szCs w:val="24"/>
        </w:rPr>
        <w:t xml:space="preserve"> </w:t>
      </w:r>
      <w:r w:rsidR="004644CF">
        <w:rPr>
          <w:rFonts w:ascii="Times New Roman" w:hAnsi="Times New Roman" w:cs="Times New Roman"/>
          <w:sz w:val="24"/>
          <w:szCs w:val="24"/>
        </w:rPr>
        <w:t>and t</w:t>
      </w:r>
      <w:r w:rsidR="002151D9" w:rsidRPr="002151D9">
        <w:rPr>
          <w:rFonts w:ascii="Times New Roman" w:hAnsi="Times New Roman" w:cs="Times New Roman"/>
          <w:sz w:val="24"/>
          <w:szCs w:val="24"/>
        </w:rPr>
        <w:t>he standard for breaching this duty is gross negligence</w:t>
      </w:r>
      <w:r w:rsidR="00083953" w:rsidRPr="0042152F">
        <w:rPr>
          <w:rStyle w:val="FootnoteReference"/>
          <w:rFonts w:ascii="Times New Roman" w:hAnsi="Times New Roman" w:cs="Times New Roman"/>
          <w:sz w:val="24"/>
          <w:szCs w:val="24"/>
        </w:rPr>
        <w:footnoteReference w:id="99"/>
      </w:r>
      <w:r w:rsidR="002151D9" w:rsidRPr="002151D9">
        <w:rPr>
          <w:rFonts w:ascii="Times New Roman" w:hAnsi="Times New Roman" w:cs="Times New Roman"/>
          <w:sz w:val="24"/>
          <w:szCs w:val="24"/>
        </w:rPr>
        <w:t>—a significant departure from the conduct expected of the same committee under the entire fairness standard—which sets a high bar for plaintiffs to overcome.</w:t>
      </w:r>
      <w:r w:rsidR="00816F84" w:rsidRPr="0042152F">
        <w:rPr>
          <w:rStyle w:val="FootnoteReference"/>
          <w:rFonts w:ascii="Times New Roman" w:hAnsi="Times New Roman" w:cs="Times New Roman"/>
          <w:sz w:val="24"/>
          <w:szCs w:val="24"/>
        </w:rPr>
        <w:footnoteReference w:id="100"/>
      </w:r>
      <w:r w:rsidR="00083953">
        <w:rPr>
          <w:rFonts w:ascii="Times New Roman" w:hAnsi="Times New Roman" w:cs="Times New Roman"/>
          <w:sz w:val="24"/>
          <w:szCs w:val="24"/>
        </w:rPr>
        <w:t xml:space="preserve"> </w:t>
      </w:r>
    </w:p>
    <w:p w14:paraId="05C30FC6" w14:textId="3CC98F6C" w:rsidR="00A9207E" w:rsidRPr="0042152F" w:rsidRDefault="00FE2C83"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However, plaintiffs’ lawyers</w:t>
      </w:r>
      <w:r w:rsidR="00A9207E" w:rsidRPr="0042152F">
        <w:rPr>
          <w:rFonts w:ascii="Times New Roman" w:hAnsi="Times New Roman" w:cs="Times New Roman"/>
          <w:sz w:val="24"/>
          <w:szCs w:val="24"/>
        </w:rPr>
        <w:t xml:space="preserve"> </w:t>
      </w:r>
      <w:r w:rsidR="00BD1A65" w:rsidRPr="0042152F">
        <w:rPr>
          <w:rFonts w:ascii="Times New Roman" w:hAnsi="Times New Roman" w:cs="Times New Roman"/>
          <w:sz w:val="24"/>
          <w:szCs w:val="24"/>
        </w:rPr>
        <w:t>even</w:t>
      </w:r>
      <w:r w:rsidR="004047D6" w:rsidRPr="0042152F">
        <w:rPr>
          <w:rFonts w:ascii="Times New Roman" w:hAnsi="Times New Roman" w:cs="Times New Roman"/>
          <w:sz w:val="24"/>
          <w:szCs w:val="24"/>
        </w:rPr>
        <w:t>tually</w:t>
      </w:r>
      <w:r w:rsidR="00BD1A65"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identified litigation strategies </w:t>
      </w:r>
      <w:r w:rsidR="0080727B">
        <w:rPr>
          <w:rFonts w:ascii="Times New Roman" w:hAnsi="Times New Roman" w:cs="Times New Roman"/>
          <w:sz w:val="24"/>
          <w:szCs w:val="24"/>
        </w:rPr>
        <w:t xml:space="preserve">that got around </w:t>
      </w:r>
      <w:r w:rsidR="0080727B">
        <w:rPr>
          <w:rFonts w:ascii="Times New Roman" w:hAnsi="Times New Roman" w:cs="Times New Roman"/>
          <w:i/>
          <w:iCs/>
          <w:sz w:val="24"/>
          <w:szCs w:val="24"/>
        </w:rPr>
        <w:t>MFW</w:t>
      </w:r>
      <w:r w:rsidR="00D50365" w:rsidRPr="0042152F">
        <w:rPr>
          <w:rFonts w:ascii="Times New Roman" w:hAnsi="Times New Roman" w:cs="Times New Roman"/>
          <w:sz w:val="24"/>
          <w:szCs w:val="24"/>
        </w:rPr>
        <w:t xml:space="preserve">, even when </w:t>
      </w:r>
      <w:r w:rsidR="00A87AA9" w:rsidRPr="0042152F">
        <w:rPr>
          <w:rFonts w:ascii="Times New Roman" w:hAnsi="Times New Roman" w:cs="Times New Roman"/>
          <w:sz w:val="24"/>
          <w:szCs w:val="24"/>
          <w:lang w:bidi="he-IL"/>
        </w:rPr>
        <w:t>the transaction was subject to</w:t>
      </w:r>
      <w:r w:rsidR="00A87AA9" w:rsidRPr="0042152F">
        <w:rPr>
          <w:rFonts w:ascii="Times New Roman" w:hAnsi="Times New Roman" w:cs="Times New Roman"/>
          <w:sz w:val="24"/>
          <w:szCs w:val="24"/>
        </w:rPr>
        <w:t xml:space="preserve"> </w:t>
      </w:r>
      <w:r w:rsidR="00D50365" w:rsidRPr="0042152F">
        <w:rPr>
          <w:rFonts w:ascii="Times New Roman" w:hAnsi="Times New Roman" w:cs="Times New Roman"/>
          <w:sz w:val="24"/>
          <w:szCs w:val="24"/>
        </w:rPr>
        <w:t xml:space="preserve">a </w:t>
      </w:r>
      <w:r w:rsidR="00A87AA9" w:rsidRPr="0042152F">
        <w:rPr>
          <w:rFonts w:ascii="Times New Roman" w:hAnsi="Times New Roman" w:cs="Times New Roman"/>
          <w:sz w:val="24"/>
          <w:szCs w:val="24"/>
        </w:rPr>
        <w:t>majority</w:t>
      </w:r>
      <w:r w:rsidR="00A62818" w:rsidRPr="0042152F">
        <w:rPr>
          <w:rFonts w:ascii="Times New Roman" w:hAnsi="Times New Roman" w:cs="Times New Roman"/>
          <w:sz w:val="24"/>
          <w:szCs w:val="24"/>
        </w:rPr>
        <w:t xml:space="preserve">-of-minority </w:t>
      </w:r>
      <w:r w:rsidR="00D50365" w:rsidRPr="0042152F">
        <w:rPr>
          <w:rFonts w:ascii="Times New Roman" w:hAnsi="Times New Roman" w:cs="Times New Roman"/>
          <w:sz w:val="24"/>
          <w:szCs w:val="24"/>
        </w:rPr>
        <w:t>shareholder vote and a special committee</w:t>
      </w:r>
      <w:r w:rsidRPr="0042152F">
        <w:rPr>
          <w:rFonts w:ascii="Times New Roman" w:hAnsi="Times New Roman" w:cs="Times New Roman"/>
          <w:sz w:val="24"/>
          <w:szCs w:val="24"/>
        </w:rPr>
        <w:t>.</w:t>
      </w:r>
      <w:r w:rsidR="00CF2447" w:rsidRPr="0042152F">
        <w:rPr>
          <w:rFonts w:ascii="Times New Roman" w:hAnsi="Times New Roman" w:cs="Times New Roman"/>
          <w:sz w:val="24"/>
          <w:szCs w:val="24"/>
          <w:vertAlign w:val="superscript"/>
        </w:rPr>
        <w:footnoteReference w:id="101"/>
      </w:r>
      <w:r w:rsidR="00CF2447" w:rsidRPr="0042152F">
        <w:rPr>
          <w:rFonts w:ascii="Times New Roman" w:hAnsi="Times New Roman" w:cs="Times New Roman"/>
          <w:sz w:val="24"/>
          <w:szCs w:val="24"/>
        </w:rPr>
        <w:t xml:space="preserve"> </w:t>
      </w:r>
      <w:r w:rsidR="00083953">
        <w:rPr>
          <w:rFonts w:ascii="Times New Roman" w:hAnsi="Times New Roman" w:cs="Times New Roman"/>
          <w:sz w:val="24"/>
          <w:szCs w:val="24"/>
        </w:rPr>
        <w:t>S</w:t>
      </w:r>
      <w:r w:rsidR="00A9207E" w:rsidRPr="0042152F">
        <w:rPr>
          <w:rFonts w:ascii="Times New Roman" w:hAnsi="Times New Roman" w:cs="Times New Roman"/>
          <w:sz w:val="24"/>
          <w:szCs w:val="24"/>
        </w:rPr>
        <w:t>pecifically, plaintiffs</w:t>
      </w:r>
      <w:r w:rsidR="00EB784D">
        <w:rPr>
          <w:rFonts w:ascii="Times New Roman" w:hAnsi="Times New Roman" w:cs="Times New Roman"/>
          <w:sz w:val="24"/>
          <w:szCs w:val="24"/>
        </w:rPr>
        <w:t>’</w:t>
      </w:r>
      <w:r w:rsidR="00A9207E" w:rsidRPr="0042152F">
        <w:rPr>
          <w:rFonts w:ascii="Times New Roman" w:hAnsi="Times New Roman" w:cs="Times New Roman"/>
          <w:sz w:val="24"/>
          <w:szCs w:val="24"/>
        </w:rPr>
        <w:t xml:space="preserve"> lawyers began challenging the shareholder vote used to cleanse the transaction and argued that it </w:t>
      </w:r>
      <w:r w:rsidR="00D50365" w:rsidRPr="0042152F">
        <w:rPr>
          <w:rFonts w:ascii="Times New Roman" w:hAnsi="Times New Roman" w:cs="Times New Roman"/>
          <w:sz w:val="24"/>
          <w:szCs w:val="24"/>
        </w:rPr>
        <w:t>would not be</w:t>
      </w:r>
      <w:r w:rsidR="00A9207E" w:rsidRPr="0042152F">
        <w:rPr>
          <w:rFonts w:ascii="Times New Roman" w:hAnsi="Times New Roman" w:cs="Times New Roman"/>
          <w:sz w:val="24"/>
          <w:szCs w:val="24"/>
        </w:rPr>
        <w:t xml:space="preserve"> informed </w:t>
      </w:r>
      <w:r w:rsidR="00D50365" w:rsidRPr="0042152F">
        <w:rPr>
          <w:rFonts w:ascii="Times New Roman" w:hAnsi="Times New Roman" w:cs="Times New Roman"/>
          <w:sz w:val="24"/>
          <w:szCs w:val="24"/>
        </w:rPr>
        <w:t>if there were</w:t>
      </w:r>
      <w:r w:rsidR="00A9207E" w:rsidRPr="0042152F">
        <w:rPr>
          <w:rFonts w:ascii="Times New Roman" w:hAnsi="Times New Roman" w:cs="Times New Roman"/>
          <w:sz w:val="24"/>
          <w:szCs w:val="24"/>
        </w:rPr>
        <w:t xml:space="preserve"> disclosure deficiencies </w:t>
      </w:r>
      <w:r w:rsidR="0080727B">
        <w:rPr>
          <w:rFonts w:ascii="Times New Roman" w:hAnsi="Times New Roman" w:cs="Times New Roman"/>
          <w:sz w:val="24"/>
          <w:szCs w:val="24"/>
        </w:rPr>
        <w:t>about</w:t>
      </w:r>
      <w:r w:rsidR="0080727B" w:rsidRPr="0042152F">
        <w:rPr>
          <w:rFonts w:ascii="Times New Roman" w:hAnsi="Times New Roman" w:cs="Times New Roman"/>
          <w:sz w:val="24"/>
          <w:szCs w:val="24"/>
        </w:rPr>
        <w:t xml:space="preserve"> </w:t>
      </w:r>
      <w:r w:rsidR="00A9207E" w:rsidRPr="0042152F">
        <w:rPr>
          <w:rFonts w:ascii="Times New Roman" w:hAnsi="Times New Roman" w:cs="Times New Roman"/>
          <w:sz w:val="24"/>
          <w:szCs w:val="24"/>
        </w:rPr>
        <w:t xml:space="preserve">the </w:t>
      </w:r>
      <w:r w:rsidR="0080727B">
        <w:rPr>
          <w:rFonts w:ascii="Times New Roman" w:hAnsi="Times New Roman" w:cs="Times New Roman"/>
          <w:sz w:val="24"/>
          <w:szCs w:val="24"/>
        </w:rPr>
        <w:t xml:space="preserve">special committee </w:t>
      </w:r>
      <w:r w:rsidR="00A9207E" w:rsidRPr="0042152F">
        <w:rPr>
          <w:rFonts w:ascii="Times New Roman" w:hAnsi="Times New Roman" w:cs="Times New Roman"/>
          <w:sz w:val="24"/>
          <w:szCs w:val="24"/>
        </w:rPr>
        <w:t>process.</w:t>
      </w:r>
      <w:r w:rsidR="007D2B66" w:rsidRPr="0042152F">
        <w:rPr>
          <w:rStyle w:val="FootnoteReference"/>
          <w:rFonts w:ascii="Times New Roman" w:hAnsi="Times New Roman" w:cs="Times New Roman"/>
          <w:sz w:val="24"/>
          <w:szCs w:val="24"/>
        </w:rPr>
        <w:footnoteReference w:id="102"/>
      </w:r>
      <w:r w:rsidR="00A9207E" w:rsidRPr="0042152F">
        <w:rPr>
          <w:rFonts w:ascii="Times New Roman" w:hAnsi="Times New Roman" w:cs="Times New Roman"/>
          <w:sz w:val="24"/>
          <w:szCs w:val="24"/>
        </w:rPr>
        <w:t xml:space="preserve"> </w:t>
      </w:r>
      <w:r w:rsidR="00083953" w:rsidRPr="00083953">
        <w:rPr>
          <w:rFonts w:ascii="Times New Roman" w:hAnsi="Times New Roman" w:cs="Times New Roman"/>
          <w:sz w:val="24"/>
          <w:szCs w:val="24"/>
        </w:rPr>
        <w:t xml:space="preserve">In other words, </w:t>
      </w:r>
      <w:r w:rsidR="00481925">
        <w:rPr>
          <w:rFonts w:ascii="Times New Roman" w:hAnsi="Times New Roman" w:cs="Times New Roman"/>
          <w:sz w:val="24"/>
          <w:szCs w:val="24"/>
        </w:rPr>
        <w:t xml:space="preserve">these </w:t>
      </w:r>
      <w:r w:rsidR="0080727B">
        <w:rPr>
          <w:rFonts w:ascii="Times New Roman" w:hAnsi="Times New Roman" w:cs="Times New Roman"/>
          <w:sz w:val="24"/>
          <w:szCs w:val="24"/>
        </w:rPr>
        <w:t>lawyers</w:t>
      </w:r>
      <w:r w:rsidR="00083953" w:rsidRPr="00083953">
        <w:rPr>
          <w:rFonts w:ascii="Times New Roman" w:hAnsi="Times New Roman" w:cs="Times New Roman"/>
          <w:sz w:val="24"/>
          <w:szCs w:val="24"/>
        </w:rPr>
        <w:t xml:space="preserve"> argued that </w:t>
      </w:r>
      <w:r w:rsidR="00083953" w:rsidRPr="00083953">
        <w:rPr>
          <w:rFonts w:ascii="Times New Roman" w:hAnsi="Times New Roman" w:cs="Times New Roman"/>
          <w:sz w:val="24"/>
          <w:szCs w:val="24"/>
        </w:rPr>
        <w:lastRenderedPageBreak/>
        <w:t>shareholders must be informed not only about the economic terms of the transaction but also about the special committee’s negotiating process</w:t>
      </w:r>
      <w:r w:rsidR="00083953" w:rsidRPr="0042152F">
        <w:rPr>
          <w:rStyle w:val="FootnoteReference"/>
          <w:rFonts w:ascii="Times New Roman" w:hAnsi="Times New Roman" w:cs="Times New Roman"/>
          <w:sz w:val="24"/>
          <w:szCs w:val="24"/>
        </w:rPr>
        <w:footnoteReference w:id="103"/>
      </w:r>
      <w:r w:rsidR="00083953" w:rsidRPr="00083953">
        <w:rPr>
          <w:rFonts w:ascii="Times New Roman" w:hAnsi="Times New Roman" w:cs="Times New Roman"/>
          <w:sz w:val="24"/>
          <w:szCs w:val="24"/>
        </w:rPr>
        <w:t xml:space="preserve"> and the independence of the directors and their advisors</w:t>
      </w:r>
      <w:r w:rsidR="00EB784D">
        <w:rPr>
          <w:rFonts w:ascii="Times New Roman" w:hAnsi="Times New Roman" w:cs="Times New Roman"/>
          <w:sz w:val="24"/>
          <w:szCs w:val="24"/>
        </w:rPr>
        <w:t xml:space="preserve"> in order to have the</w:t>
      </w:r>
      <w:r w:rsidR="008F15B5">
        <w:rPr>
          <w:rFonts w:ascii="Times New Roman" w:hAnsi="Times New Roman" w:cs="Times New Roman"/>
          <w:sz w:val="24"/>
          <w:szCs w:val="24"/>
        </w:rPr>
        <w:t xml:space="preserve"> shareholder</w:t>
      </w:r>
      <w:r w:rsidR="00EB784D">
        <w:rPr>
          <w:rFonts w:ascii="Times New Roman" w:hAnsi="Times New Roman" w:cs="Times New Roman"/>
          <w:sz w:val="24"/>
          <w:szCs w:val="24"/>
        </w:rPr>
        <w:t xml:space="preserve"> vote </w:t>
      </w:r>
      <w:r w:rsidR="0080727B">
        <w:rPr>
          <w:rFonts w:ascii="Times New Roman" w:hAnsi="Times New Roman" w:cs="Times New Roman"/>
          <w:sz w:val="24"/>
          <w:szCs w:val="24"/>
        </w:rPr>
        <w:t>count as a</w:t>
      </w:r>
      <w:r w:rsidR="00EB784D">
        <w:rPr>
          <w:rFonts w:ascii="Times New Roman" w:hAnsi="Times New Roman" w:cs="Times New Roman"/>
          <w:sz w:val="24"/>
          <w:szCs w:val="24"/>
        </w:rPr>
        <w:t xml:space="preserve"> procedural cleansing mechanism</w:t>
      </w:r>
      <w:r w:rsidR="00083953" w:rsidRPr="00083953">
        <w:rPr>
          <w:rFonts w:ascii="Times New Roman" w:hAnsi="Times New Roman" w:cs="Times New Roman"/>
          <w:sz w:val="24"/>
          <w:szCs w:val="24"/>
        </w:rPr>
        <w:t>.</w:t>
      </w:r>
      <w:r w:rsidR="007D2B66" w:rsidRPr="0042152F">
        <w:rPr>
          <w:rStyle w:val="FootnoteReference"/>
          <w:rFonts w:ascii="Times New Roman" w:hAnsi="Times New Roman" w:cs="Times New Roman"/>
          <w:sz w:val="24"/>
          <w:szCs w:val="24"/>
        </w:rPr>
        <w:footnoteReference w:id="104"/>
      </w:r>
      <w:r w:rsidRPr="0042152F">
        <w:rPr>
          <w:rFonts w:ascii="Times New Roman" w:hAnsi="Times New Roman" w:cs="Times New Roman"/>
          <w:sz w:val="24"/>
          <w:szCs w:val="24"/>
        </w:rPr>
        <w:t xml:space="preserve"> </w:t>
      </w:r>
    </w:p>
    <w:p w14:paraId="5C3C0AFD" w14:textId="7EBC924C" w:rsidR="00F2784F" w:rsidRPr="0042152F" w:rsidRDefault="00FE2C83"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Relying on pre-</w:t>
      </w:r>
      <w:r w:rsidRPr="0042152F">
        <w:rPr>
          <w:rFonts w:ascii="Times New Roman" w:hAnsi="Times New Roman" w:cs="Times New Roman"/>
          <w:i/>
          <w:iCs/>
          <w:sz w:val="24"/>
          <w:szCs w:val="24"/>
        </w:rPr>
        <w:t>MFW</w:t>
      </w:r>
      <w:r w:rsidRPr="0042152F">
        <w:rPr>
          <w:rFonts w:ascii="Times New Roman" w:hAnsi="Times New Roman" w:cs="Times New Roman"/>
          <w:sz w:val="24"/>
          <w:szCs w:val="24"/>
        </w:rPr>
        <w:t xml:space="preserve"> principles,</w:t>
      </w:r>
      <w:r w:rsidRPr="0042152F">
        <w:rPr>
          <w:rStyle w:val="FootnoteReference"/>
          <w:rFonts w:ascii="Times New Roman" w:eastAsia="NewBaskervilleITCPro-Roman" w:hAnsi="Times New Roman" w:cs="Times New Roman"/>
          <w:kern w:val="0"/>
          <w:sz w:val="24"/>
          <w:szCs w:val="24"/>
        </w:rPr>
        <w:footnoteReference w:id="105"/>
      </w:r>
      <w:r w:rsidRPr="0042152F">
        <w:rPr>
          <w:rFonts w:ascii="Times New Roman" w:eastAsia="NewBaskervilleITCPro-Roman" w:hAnsi="Times New Roman" w:cs="Times New Roman"/>
          <w:kern w:val="0"/>
          <w:sz w:val="24"/>
          <w:szCs w:val="24"/>
        </w:rPr>
        <w:t xml:space="preserve"> </w:t>
      </w:r>
      <w:r w:rsidRPr="0042152F">
        <w:rPr>
          <w:rFonts w:ascii="Times New Roman" w:hAnsi="Times New Roman" w:cs="Times New Roman"/>
          <w:sz w:val="24"/>
          <w:szCs w:val="24"/>
        </w:rPr>
        <w:t>courts have accepted th</w:t>
      </w:r>
      <w:r w:rsidR="007D2B66" w:rsidRPr="0042152F">
        <w:rPr>
          <w:rFonts w:ascii="Times New Roman" w:hAnsi="Times New Roman" w:cs="Times New Roman"/>
          <w:sz w:val="24"/>
          <w:szCs w:val="24"/>
        </w:rPr>
        <w:t>ese</w:t>
      </w:r>
      <w:r w:rsidRPr="0042152F">
        <w:rPr>
          <w:rFonts w:ascii="Times New Roman" w:hAnsi="Times New Roman" w:cs="Times New Roman"/>
          <w:sz w:val="24"/>
          <w:szCs w:val="24"/>
        </w:rPr>
        <w:t xml:space="preserve"> argument</w:t>
      </w:r>
      <w:r w:rsidR="007D2B66" w:rsidRPr="0042152F">
        <w:rPr>
          <w:rFonts w:ascii="Times New Roman" w:hAnsi="Times New Roman" w:cs="Times New Roman"/>
          <w:sz w:val="24"/>
          <w:szCs w:val="24"/>
        </w:rPr>
        <w:t>s</w:t>
      </w:r>
      <w:r w:rsidRPr="0042152F">
        <w:rPr>
          <w:rFonts w:ascii="Times New Roman" w:hAnsi="Times New Roman" w:cs="Times New Roman"/>
          <w:sz w:val="24"/>
          <w:szCs w:val="24"/>
        </w:rPr>
        <w:t>,</w:t>
      </w:r>
      <w:bookmarkStart w:id="9" w:name="_Ref173221279"/>
      <w:r w:rsidRPr="0042152F">
        <w:rPr>
          <w:rStyle w:val="FootnoteReference"/>
          <w:rFonts w:ascii="Times New Roman" w:eastAsia="NewBaskervilleITCPro-Roman" w:hAnsi="Times New Roman" w:cs="Times New Roman"/>
          <w:kern w:val="0"/>
          <w:sz w:val="24"/>
          <w:szCs w:val="24"/>
        </w:rPr>
        <w:footnoteReference w:id="106"/>
      </w:r>
      <w:bookmarkEnd w:id="9"/>
      <w:r w:rsidRPr="0042152F">
        <w:rPr>
          <w:rFonts w:ascii="Times New Roman" w:hAnsi="Times New Roman" w:cs="Times New Roman"/>
          <w:sz w:val="24"/>
          <w:szCs w:val="24"/>
        </w:rPr>
        <w:t xml:space="preserve"> leading to </w:t>
      </w:r>
      <w:r w:rsidR="007B67B5" w:rsidRPr="0042152F">
        <w:rPr>
          <w:rFonts w:ascii="Times New Roman" w:hAnsi="Times New Roman" w:cs="Times New Roman"/>
          <w:sz w:val="24"/>
          <w:szCs w:val="24"/>
        </w:rPr>
        <w:t xml:space="preserve">an </w:t>
      </w:r>
      <w:r w:rsidR="00F2784F" w:rsidRPr="0042152F">
        <w:rPr>
          <w:rFonts w:ascii="Times New Roman" w:hAnsi="Times New Roman" w:cs="Times New Roman"/>
          <w:sz w:val="24"/>
          <w:szCs w:val="24"/>
        </w:rPr>
        <w:t xml:space="preserve">undesirable </w:t>
      </w:r>
      <w:r w:rsidRPr="0042152F">
        <w:rPr>
          <w:rFonts w:ascii="Times New Roman" w:hAnsi="Times New Roman" w:cs="Times New Roman"/>
          <w:sz w:val="24"/>
          <w:szCs w:val="24"/>
        </w:rPr>
        <w:t>outcome</w:t>
      </w:r>
      <w:r w:rsidR="00E62C66">
        <w:rPr>
          <w:rFonts w:ascii="Times New Roman" w:hAnsi="Times New Roman" w:cs="Times New Roman"/>
          <w:sz w:val="24"/>
          <w:szCs w:val="24"/>
        </w:rPr>
        <w:t xml:space="preserve"> where</w:t>
      </w:r>
      <w:r w:rsidR="007B67B5" w:rsidRPr="0042152F">
        <w:rPr>
          <w:rFonts w:ascii="Times New Roman" w:hAnsi="Times New Roman" w:cs="Times New Roman"/>
          <w:sz w:val="24"/>
          <w:szCs w:val="24"/>
        </w:rPr>
        <w:t xml:space="preserve"> </w:t>
      </w:r>
      <w:r w:rsidRPr="0042152F">
        <w:rPr>
          <w:rFonts w:ascii="Times New Roman" w:hAnsi="Times New Roman" w:cs="Times New Roman"/>
          <w:sz w:val="24"/>
          <w:szCs w:val="24"/>
        </w:rPr>
        <w:t>incomplete disclosure about the special committee</w:t>
      </w:r>
      <w:r w:rsidR="00F2784F" w:rsidRPr="0042152F">
        <w:rPr>
          <w:rFonts w:ascii="Times New Roman" w:hAnsi="Times New Roman" w:cs="Times New Roman"/>
          <w:sz w:val="24"/>
          <w:szCs w:val="24"/>
        </w:rPr>
        <w:t xml:space="preserve"> or its advisors</w:t>
      </w:r>
      <w:r w:rsidRPr="0042152F">
        <w:rPr>
          <w:rFonts w:ascii="Times New Roman" w:hAnsi="Times New Roman" w:cs="Times New Roman"/>
          <w:sz w:val="24"/>
          <w:szCs w:val="24"/>
        </w:rPr>
        <w:t xml:space="preserve"> </w:t>
      </w:r>
      <w:r w:rsidR="000E3DEE" w:rsidRPr="0042152F">
        <w:rPr>
          <w:rFonts w:ascii="Times New Roman" w:hAnsi="Times New Roman" w:cs="Times New Roman"/>
          <w:sz w:val="24"/>
          <w:szCs w:val="24"/>
        </w:rPr>
        <w:t xml:space="preserve">might </w:t>
      </w:r>
      <w:r w:rsidRPr="0042152F">
        <w:rPr>
          <w:rFonts w:ascii="Times New Roman" w:hAnsi="Times New Roman" w:cs="Times New Roman"/>
          <w:sz w:val="24"/>
          <w:szCs w:val="24"/>
        </w:rPr>
        <w:t xml:space="preserve">cause the failure of </w:t>
      </w:r>
      <w:r w:rsidRPr="0042152F">
        <w:rPr>
          <w:rFonts w:ascii="Times New Roman" w:hAnsi="Times New Roman" w:cs="Times New Roman"/>
          <w:i/>
          <w:iCs/>
          <w:sz w:val="24"/>
          <w:szCs w:val="24"/>
        </w:rPr>
        <w:t>both</w:t>
      </w:r>
      <w:r w:rsidRPr="0042152F">
        <w:rPr>
          <w:rFonts w:ascii="Times New Roman" w:hAnsi="Times New Roman" w:cs="Times New Roman"/>
          <w:sz w:val="24"/>
          <w:szCs w:val="24"/>
        </w:rPr>
        <w:t xml:space="preserve"> cleansing mechanisms</w:t>
      </w:r>
      <w:r w:rsidR="00F2784F" w:rsidRPr="0042152F">
        <w:rPr>
          <w:rFonts w:ascii="Times New Roman" w:hAnsi="Times New Roman" w:cs="Times New Roman"/>
          <w:sz w:val="24"/>
          <w:szCs w:val="24"/>
        </w:rPr>
        <w:t>—not just the special committee approval but also the shareholder vote</w:t>
      </w:r>
      <w:r w:rsidRPr="0042152F">
        <w:rPr>
          <w:rFonts w:ascii="Times New Roman" w:hAnsi="Times New Roman" w:cs="Times New Roman"/>
          <w:sz w:val="24"/>
          <w:szCs w:val="24"/>
        </w:rPr>
        <w:t>.</w:t>
      </w:r>
      <w:bookmarkStart w:id="10" w:name="_Ref181363209"/>
      <w:r w:rsidRPr="0042152F">
        <w:rPr>
          <w:rStyle w:val="FootnoteReference"/>
          <w:rFonts w:ascii="Times New Roman" w:eastAsia="NewBaskervilleITCPro-Roman" w:hAnsi="Times New Roman" w:cs="Times New Roman"/>
          <w:kern w:val="0"/>
          <w:sz w:val="24"/>
          <w:szCs w:val="24"/>
        </w:rPr>
        <w:footnoteReference w:id="107"/>
      </w:r>
      <w:bookmarkEnd w:id="10"/>
      <w:r w:rsidRPr="0042152F">
        <w:rPr>
          <w:rFonts w:ascii="Times New Roman" w:hAnsi="Times New Roman" w:cs="Times New Roman"/>
          <w:sz w:val="24"/>
          <w:szCs w:val="24"/>
        </w:rPr>
        <w:t xml:space="preserve"> </w:t>
      </w:r>
      <w:r w:rsidR="00141686">
        <w:rPr>
          <w:rFonts w:ascii="Times New Roman" w:hAnsi="Times New Roman" w:cs="Times New Roman"/>
          <w:sz w:val="24"/>
          <w:szCs w:val="24"/>
        </w:rPr>
        <w:t>T</w:t>
      </w:r>
      <w:r w:rsidR="00F2784F" w:rsidRPr="0042152F">
        <w:rPr>
          <w:rFonts w:ascii="Times New Roman" w:hAnsi="Times New Roman" w:cs="Times New Roman"/>
          <w:sz w:val="24"/>
          <w:szCs w:val="24"/>
        </w:rPr>
        <w:t xml:space="preserve">his latter outcome marks a significant shift from the </w:t>
      </w:r>
      <w:r w:rsidR="0080727B">
        <w:rPr>
          <w:rFonts w:ascii="Times New Roman" w:hAnsi="Times New Roman" w:cs="Times New Roman"/>
          <w:sz w:val="24"/>
          <w:szCs w:val="24"/>
        </w:rPr>
        <w:t>doctrinal evolution described above</w:t>
      </w:r>
      <w:r w:rsidR="00F2784F" w:rsidRPr="0042152F">
        <w:rPr>
          <w:rFonts w:ascii="Times New Roman" w:hAnsi="Times New Roman" w:cs="Times New Roman"/>
          <w:sz w:val="24"/>
          <w:szCs w:val="24"/>
        </w:rPr>
        <w:t>.</w:t>
      </w:r>
      <w:r w:rsidR="007C3EAF">
        <w:rPr>
          <w:rFonts w:ascii="Times New Roman" w:hAnsi="Times New Roman" w:cs="Times New Roman"/>
          <w:sz w:val="24"/>
          <w:szCs w:val="24"/>
        </w:rPr>
        <w:t xml:space="preserve"> </w:t>
      </w:r>
      <w:r w:rsidR="00F2784F" w:rsidRPr="0042152F">
        <w:rPr>
          <w:rFonts w:ascii="Times New Roman" w:hAnsi="Times New Roman" w:cs="Times New Roman"/>
          <w:sz w:val="24"/>
          <w:szCs w:val="24"/>
        </w:rPr>
        <w:t xml:space="preserve">Before </w:t>
      </w:r>
      <w:r w:rsidR="00F2784F" w:rsidRPr="0042152F">
        <w:rPr>
          <w:rFonts w:ascii="Times New Roman" w:hAnsi="Times New Roman" w:cs="Times New Roman"/>
          <w:i/>
          <w:iCs/>
          <w:sz w:val="24"/>
          <w:szCs w:val="24"/>
        </w:rPr>
        <w:t>MFW</w:t>
      </w:r>
      <w:r w:rsidR="00F2784F" w:rsidRPr="0042152F">
        <w:rPr>
          <w:rFonts w:ascii="Times New Roman" w:hAnsi="Times New Roman" w:cs="Times New Roman"/>
          <w:sz w:val="24"/>
          <w:szCs w:val="24"/>
        </w:rPr>
        <w:t>, if a controlling owner used just one cleansing mechanism—either a special committee or a majority of minority vote—the burden of proof shifted to the plaintiff under entire fairness.</w:t>
      </w:r>
      <w:r w:rsidR="00F2784F" w:rsidRPr="0042152F">
        <w:rPr>
          <w:rStyle w:val="FootnoteReference"/>
          <w:rFonts w:ascii="Times New Roman" w:hAnsi="Times New Roman" w:cs="Times New Roman"/>
          <w:sz w:val="24"/>
          <w:szCs w:val="24"/>
        </w:rPr>
        <w:footnoteReference w:id="108"/>
      </w:r>
      <w:r w:rsidR="00F2784F" w:rsidRPr="0042152F">
        <w:rPr>
          <w:rFonts w:ascii="Times New Roman" w:hAnsi="Times New Roman" w:cs="Times New Roman"/>
          <w:sz w:val="24"/>
          <w:szCs w:val="24"/>
        </w:rPr>
        <w:t xml:space="preserve"> </w:t>
      </w:r>
      <w:r w:rsidR="009C4495">
        <w:rPr>
          <w:rFonts w:ascii="Times New Roman" w:hAnsi="Times New Roman" w:cs="Times New Roman"/>
          <w:sz w:val="24"/>
          <w:szCs w:val="24"/>
        </w:rPr>
        <w:t>T</w:t>
      </w:r>
      <w:r w:rsidR="00F2784F" w:rsidRPr="0042152F">
        <w:rPr>
          <w:rFonts w:ascii="Times New Roman" w:hAnsi="Times New Roman" w:cs="Times New Roman"/>
          <w:sz w:val="24"/>
          <w:szCs w:val="24"/>
        </w:rPr>
        <w:t>hese mechanisms were not interconnected.</w:t>
      </w:r>
      <w:r w:rsidR="00F2784F" w:rsidRPr="0042152F">
        <w:rPr>
          <w:rStyle w:val="FootnoteReference"/>
          <w:rFonts w:ascii="Times New Roman" w:hAnsi="Times New Roman" w:cs="Times New Roman"/>
          <w:sz w:val="24"/>
          <w:szCs w:val="24"/>
        </w:rPr>
        <w:footnoteReference w:id="109"/>
      </w:r>
      <w:r w:rsidR="00F2784F" w:rsidRPr="0042152F">
        <w:rPr>
          <w:rFonts w:ascii="Times New Roman" w:hAnsi="Times New Roman" w:cs="Times New Roman"/>
          <w:sz w:val="24"/>
          <w:szCs w:val="24"/>
        </w:rPr>
        <w:t xml:space="preserve"> A controller could seek majority of minority shareholder approval without any special committee negotiation, provided the economic terms of the transaction were disclosed. </w:t>
      </w:r>
    </w:p>
    <w:p w14:paraId="7AED052B" w14:textId="77777777" w:rsidR="0080727B" w:rsidRDefault="00F2784F"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When </w:t>
      </w:r>
      <w:r w:rsidRPr="0042152F">
        <w:rPr>
          <w:rFonts w:ascii="Times New Roman" w:hAnsi="Times New Roman" w:cs="Times New Roman"/>
          <w:i/>
          <w:iCs/>
          <w:sz w:val="24"/>
          <w:szCs w:val="24"/>
        </w:rPr>
        <w:t>MFW</w:t>
      </w:r>
      <w:r w:rsidRPr="0042152F">
        <w:rPr>
          <w:rFonts w:ascii="Times New Roman" w:hAnsi="Times New Roman" w:cs="Times New Roman"/>
          <w:sz w:val="24"/>
          <w:szCs w:val="24"/>
        </w:rPr>
        <w:t xml:space="preserve"> required both mechanisms to cleanse a transaction, the </w:t>
      </w:r>
      <w:r w:rsidR="000A3EC2" w:rsidRPr="0042152F">
        <w:rPr>
          <w:rFonts w:ascii="Times New Roman" w:hAnsi="Times New Roman" w:cs="Times New Roman"/>
          <w:sz w:val="24"/>
          <w:szCs w:val="24"/>
        </w:rPr>
        <w:t>court</w:t>
      </w:r>
      <w:r w:rsidR="009C4DF6" w:rsidRPr="0042152F">
        <w:rPr>
          <w:rFonts w:ascii="Times New Roman" w:hAnsi="Times New Roman" w:cs="Times New Roman"/>
          <w:sz w:val="24"/>
          <w:szCs w:val="24"/>
        </w:rPr>
        <w:t>’</w:t>
      </w:r>
      <w:r w:rsidR="00645F3D" w:rsidRPr="0042152F">
        <w:rPr>
          <w:rFonts w:ascii="Times New Roman" w:hAnsi="Times New Roman" w:cs="Times New Roman"/>
          <w:sz w:val="24"/>
          <w:szCs w:val="24"/>
        </w:rPr>
        <w:t xml:space="preserve">s treatment of the </w:t>
      </w:r>
      <w:r w:rsidRPr="0042152F">
        <w:rPr>
          <w:rFonts w:ascii="Times New Roman" w:hAnsi="Times New Roman" w:cs="Times New Roman"/>
          <w:sz w:val="24"/>
          <w:szCs w:val="24"/>
        </w:rPr>
        <w:t>disclosure requirement</w:t>
      </w:r>
      <w:r w:rsidR="00645F3D" w:rsidRPr="0042152F">
        <w:rPr>
          <w:rFonts w:ascii="Times New Roman" w:hAnsi="Times New Roman" w:cs="Times New Roman"/>
          <w:sz w:val="24"/>
          <w:szCs w:val="24"/>
        </w:rPr>
        <w:t>s</w:t>
      </w:r>
      <w:r w:rsidRPr="0042152F">
        <w:rPr>
          <w:rFonts w:ascii="Times New Roman" w:hAnsi="Times New Roman" w:cs="Times New Roman"/>
          <w:sz w:val="24"/>
          <w:szCs w:val="24"/>
        </w:rPr>
        <w:t xml:space="preserve"> </w:t>
      </w:r>
      <w:r w:rsidR="00645F3D" w:rsidRPr="0042152F">
        <w:rPr>
          <w:rFonts w:ascii="Times New Roman" w:hAnsi="Times New Roman" w:cs="Times New Roman"/>
          <w:sz w:val="24"/>
          <w:szCs w:val="24"/>
        </w:rPr>
        <w:t xml:space="preserve">and the implications of incomplete disclosure </w:t>
      </w:r>
      <w:r w:rsidRPr="0042152F">
        <w:rPr>
          <w:rFonts w:ascii="Times New Roman" w:hAnsi="Times New Roman" w:cs="Times New Roman"/>
          <w:sz w:val="24"/>
          <w:szCs w:val="24"/>
        </w:rPr>
        <w:t xml:space="preserve">did not adapt to the new regime. </w:t>
      </w:r>
      <w:r w:rsidR="009C4DF6" w:rsidRPr="0042152F">
        <w:rPr>
          <w:rFonts w:ascii="Times New Roman" w:hAnsi="Times New Roman" w:cs="Times New Roman"/>
          <w:sz w:val="24"/>
          <w:szCs w:val="24"/>
        </w:rPr>
        <w:t xml:space="preserve">Delaware courts have </w:t>
      </w:r>
      <w:r w:rsidR="00F05978" w:rsidRPr="0042152F">
        <w:rPr>
          <w:rFonts w:ascii="Times New Roman" w:hAnsi="Times New Roman" w:cs="Times New Roman"/>
          <w:sz w:val="24"/>
          <w:szCs w:val="24"/>
        </w:rPr>
        <w:t xml:space="preserve">long </w:t>
      </w:r>
      <w:r w:rsidRPr="0042152F">
        <w:rPr>
          <w:rFonts w:ascii="Times New Roman" w:hAnsi="Times New Roman" w:cs="Times New Roman"/>
          <w:sz w:val="24"/>
          <w:szCs w:val="24"/>
        </w:rPr>
        <w:t xml:space="preserve">held that information about the special committee process—including director independence, the bargaining process, and potential conflicts of the committee’s </w:t>
      </w:r>
      <w:r w:rsidRPr="0042152F">
        <w:rPr>
          <w:rFonts w:ascii="Times New Roman" w:hAnsi="Times New Roman" w:cs="Times New Roman"/>
          <w:sz w:val="24"/>
          <w:szCs w:val="24"/>
        </w:rPr>
        <w:lastRenderedPageBreak/>
        <w:t>advisors—counted as “material information” required to be disclosed to shareholders.</w:t>
      </w:r>
      <w:r w:rsidR="00F05978" w:rsidRPr="0042152F">
        <w:rPr>
          <w:rStyle w:val="FootnoteReference"/>
          <w:rFonts w:ascii="Times New Roman" w:hAnsi="Times New Roman" w:cs="Times New Roman"/>
          <w:sz w:val="24"/>
          <w:szCs w:val="24"/>
        </w:rPr>
        <w:footnoteReference w:id="110"/>
      </w:r>
      <w:r w:rsidRPr="0042152F">
        <w:rPr>
          <w:rFonts w:ascii="Times New Roman" w:hAnsi="Times New Roman" w:cs="Times New Roman"/>
          <w:sz w:val="24"/>
          <w:szCs w:val="24"/>
        </w:rPr>
        <w:t xml:space="preserve"> </w:t>
      </w:r>
      <w:r w:rsidR="00AE688F" w:rsidRPr="0042152F">
        <w:rPr>
          <w:rFonts w:ascii="Times New Roman" w:hAnsi="Times New Roman" w:cs="Times New Roman"/>
          <w:sz w:val="24"/>
          <w:szCs w:val="24"/>
        </w:rPr>
        <w:t>In the post-</w:t>
      </w:r>
      <w:r w:rsidR="00AE688F" w:rsidRPr="0042152F">
        <w:rPr>
          <w:rFonts w:ascii="Times New Roman" w:hAnsi="Times New Roman" w:cs="Times New Roman"/>
          <w:i/>
          <w:iCs/>
          <w:sz w:val="24"/>
          <w:szCs w:val="24"/>
        </w:rPr>
        <w:t>MFW</w:t>
      </w:r>
      <w:r w:rsidR="00AE688F" w:rsidRPr="0042152F">
        <w:rPr>
          <w:rFonts w:ascii="Times New Roman" w:hAnsi="Times New Roman" w:cs="Times New Roman"/>
          <w:sz w:val="24"/>
          <w:szCs w:val="24"/>
        </w:rPr>
        <w:t xml:space="preserve"> era, the </w:t>
      </w:r>
      <w:r w:rsidRPr="0042152F">
        <w:rPr>
          <w:rFonts w:ascii="Times New Roman" w:hAnsi="Times New Roman" w:cs="Times New Roman"/>
          <w:sz w:val="24"/>
          <w:szCs w:val="24"/>
        </w:rPr>
        <w:t xml:space="preserve">absence </w:t>
      </w:r>
      <w:r w:rsidR="00AE688F" w:rsidRPr="0042152F">
        <w:rPr>
          <w:rFonts w:ascii="Times New Roman" w:hAnsi="Times New Roman" w:cs="Times New Roman"/>
          <w:sz w:val="24"/>
          <w:szCs w:val="24"/>
        </w:rPr>
        <w:t xml:space="preserve">of such disclosure </w:t>
      </w:r>
      <w:r w:rsidR="00447B87" w:rsidRPr="0042152F">
        <w:rPr>
          <w:rFonts w:ascii="Times New Roman" w:hAnsi="Times New Roman" w:cs="Times New Roman"/>
          <w:sz w:val="24"/>
          <w:szCs w:val="24"/>
        </w:rPr>
        <w:t>concerning the special committee led courts</w:t>
      </w:r>
      <w:r w:rsidR="00AE688F" w:rsidRPr="0042152F">
        <w:rPr>
          <w:rFonts w:ascii="Times New Roman" w:hAnsi="Times New Roman" w:cs="Times New Roman"/>
          <w:sz w:val="24"/>
          <w:szCs w:val="24"/>
        </w:rPr>
        <w:t xml:space="preserve"> </w:t>
      </w:r>
      <w:r w:rsidR="00447B87" w:rsidRPr="0042152F">
        <w:rPr>
          <w:rFonts w:ascii="Times New Roman" w:hAnsi="Times New Roman" w:cs="Times New Roman"/>
          <w:sz w:val="24"/>
          <w:szCs w:val="24"/>
        </w:rPr>
        <w:t xml:space="preserve">to </w:t>
      </w:r>
      <w:r w:rsidRPr="0042152F">
        <w:rPr>
          <w:rFonts w:ascii="Times New Roman" w:hAnsi="Times New Roman" w:cs="Times New Roman"/>
          <w:sz w:val="24"/>
          <w:szCs w:val="24"/>
        </w:rPr>
        <w:t xml:space="preserve">invalidate the </w:t>
      </w:r>
      <w:r w:rsidR="00447B87" w:rsidRPr="0042152F">
        <w:rPr>
          <w:rFonts w:ascii="Times New Roman" w:hAnsi="Times New Roman" w:cs="Times New Roman"/>
          <w:sz w:val="24"/>
          <w:szCs w:val="24"/>
        </w:rPr>
        <w:t xml:space="preserve">shareholder </w:t>
      </w:r>
      <w:r w:rsidRPr="0042152F">
        <w:rPr>
          <w:rFonts w:ascii="Times New Roman" w:hAnsi="Times New Roman" w:cs="Times New Roman"/>
          <w:sz w:val="24"/>
          <w:szCs w:val="24"/>
        </w:rPr>
        <w:t>vote</w:t>
      </w:r>
      <w:r w:rsidR="00447B87" w:rsidRPr="0042152F">
        <w:rPr>
          <w:rFonts w:ascii="Times New Roman" w:hAnsi="Times New Roman" w:cs="Times New Roman"/>
          <w:sz w:val="24"/>
          <w:szCs w:val="24"/>
        </w:rPr>
        <w:t xml:space="preserve"> prong of the </w:t>
      </w:r>
      <w:r w:rsidR="00447B87" w:rsidRPr="0042152F">
        <w:rPr>
          <w:rFonts w:ascii="Times New Roman" w:hAnsi="Times New Roman" w:cs="Times New Roman"/>
          <w:i/>
          <w:iCs/>
          <w:sz w:val="24"/>
          <w:szCs w:val="24"/>
        </w:rPr>
        <w:t>MFW</w:t>
      </w:r>
      <w:r w:rsidR="00447B87" w:rsidRPr="0042152F">
        <w:rPr>
          <w:rFonts w:ascii="Times New Roman" w:hAnsi="Times New Roman" w:cs="Times New Roman"/>
          <w:sz w:val="24"/>
          <w:szCs w:val="24"/>
        </w:rPr>
        <w:t xml:space="preserve"> conditions</w:t>
      </w:r>
      <w:r w:rsidRPr="0042152F">
        <w:rPr>
          <w:rFonts w:ascii="Times New Roman" w:hAnsi="Times New Roman" w:cs="Times New Roman"/>
          <w:sz w:val="24"/>
          <w:szCs w:val="24"/>
        </w:rPr>
        <w:t>.</w:t>
      </w:r>
      <w:r w:rsidR="009248AB" w:rsidRPr="0042152F">
        <w:rPr>
          <w:rStyle w:val="FootnoteReference"/>
          <w:rFonts w:ascii="Times New Roman" w:hAnsi="Times New Roman" w:cs="Times New Roman"/>
          <w:sz w:val="24"/>
          <w:szCs w:val="24"/>
        </w:rPr>
        <w:footnoteReference w:id="111"/>
      </w:r>
      <w:r w:rsidRPr="0042152F">
        <w:rPr>
          <w:rFonts w:ascii="Times New Roman" w:hAnsi="Times New Roman" w:cs="Times New Roman"/>
          <w:sz w:val="24"/>
          <w:szCs w:val="24"/>
        </w:rPr>
        <w:t xml:space="preserve"> Simply put, </w:t>
      </w:r>
      <w:r w:rsidR="000369EF">
        <w:rPr>
          <w:rFonts w:ascii="Times New Roman" w:hAnsi="Times New Roman" w:cs="Times New Roman"/>
          <w:sz w:val="24"/>
          <w:szCs w:val="24"/>
        </w:rPr>
        <w:t>issues with the</w:t>
      </w:r>
      <w:r w:rsidRPr="0042152F">
        <w:rPr>
          <w:rFonts w:ascii="Times New Roman" w:hAnsi="Times New Roman" w:cs="Times New Roman"/>
          <w:sz w:val="24"/>
          <w:szCs w:val="24"/>
        </w:rPr>
        <w:t xml:space="preserve"> special committee</w:t>
      </w:r>
      <w:r w:rsidR="000369EF">
        <w:rPr>
          <w:rFonts w:ascii="Times New Roman" w:hAnsi="Times New Roman" w:cs="Times New Roman"/>
          <w:sz w:val="24"/>
          <w:szCs w:val="24"/>
        </w:rPr>
        <w:t xml:space="preserve"> process, if not disclosed</w:t>
      </w:r>
      <w:r w:rsidR="00423A33">
        <w:rPr>
          <w:rFonts w:ascii="Times New Roman" w:hAnsi="Times New Roman" w:cs="Times New Roman"/>
          <w:sz w:val="24"/>
          <w:szCs w:val="24"/>
        </w:rPr>
        <w:t xml:space="preserve"> to shareholders</w:t>
      </w:r>
      <w:r w:rsidR="000369EF">
        <w:rPr>
          <w:rFonts w:ascii="Times New Roman" w:hAnsi="Times New Roman" w:cs="Times New Roman"/>
          <w:sz w:val="24"/>
          <w:szCs w:val="24"/>
        </w:rPr>
        <w:t>,</w:t>
      </w:r>
      <w:r w:rsidRPr="0042152F">
        <w:rPr>
          <w:rFonts w:ascii="Times New Roman" w:hAnsi="Times New Roman" w:cs="Times New Roman"/>
          <w:sz w:val="24"/>
          <w:szCs w:val="24"/>
        </w:rPr>
        <w:t xml:space="preserve"> also </w:t>
      </w:r>
      <w:r w:rsidR="000369EF">
        <w:rPr>
          <w:rFonts w:ascii="Times New Roman" w:hAnsi="Times New Roman" w:cs="Times New Roman"/>
          <w:sz w:val="24"/>
          <w:szCs w:val="24"/>
        </w:rPr>
        <w:t>tainted</w:t>
      </w:r>
      <w:r w:rsidRPr="0042152F">
        <w:rPr>
          <w:rFonts w:ascii="Times New Roman" w:hAnsi="Times New Roman" w:cs="Times New Roman"/>
          <w:sz w:val="24"/>
          <w:szCs w:val="24"/>
        </w:rPr>
        <w:t xml:space="preserve"> the</w:t>
      </w:r>
      <w:r w:rsidR="006D7F40">
        <w:rPr>
          <w:rFonts w:ascii="Times New Roman" w:hAnsi="Times New Roman" w:cs="Times New Roman"/>
          <w:sz w:val="24"/>
          <w:szCs w:val="24"/>
        </w:rPr>
        <w:t xml:space="preserve"> </w:t>
      </w:r>
      <w:r w:rsidRPr="0042152F">
        <w:rPr>
          <w:rFonts w:ascii="Times New Roman" w:hAnsi="Times New Roman" w:cs="Times New Roman"/>
          <w:sz w:val="24"/>
          <w:szCs w:val="24"/>
        </w:rPr>
        <w:t>shareholder vote</w:t>
      </w:r>
      <w:r w:rsidR="00C83077">
        <w:rPr>
          <w:rFonts w:ascii="Times New Roman" w:hAnsi="Times New Roman" w:cs="Times New Roman"/>
          <w:sz w:val="24"/>
          <w:szCs w:val="24"/>
        </w:rPr>
        <w:t xml:space="preserve">, </w:t>
      </w:r>
      <w:r w:rsidR="00A316FB">
        <w:rPr>
          <w:rFonts w:ascii="Times New Roman" w:hAnsi="Times New Roman" w:cs="Times New Roman"/>
          <w:sz w:val="24"/>
          <w:szCs w:val="24"/>
          <w:lang w:bidi="he-IL"/>
        </w:rPr>
        <w:t xml:space="preserve">potentially </w:t>
      </w:r>
      <w:r w:rsidR="00C83077">
        <w:rPr>
          <w:rFonts w:ascii="Times New Roman" w:hAnsi="Times New Roman" w:cs="Times New Roman"/>
          <w:sz w:val="24"/>
          <w:szCs w:val="24"/>
        </w:rPr>
        <w:t>resulting in the failure of both cleansing mechanisms and subjecting the transaction to entire fairness review</w:t>
      </w:r>
      <w:r w:rsidRPr="0042152F">
        <w:rPr>
          <w:rFonts w:ascii="Times New Roman" w:hAnsi="Times New Roman" w:cs="Times New Roman"/>
          <w:sz w:val="24"/>
          <w:szCs w:val="24"/>
        </w:rPr>
        <w:t>.</w:t>
      </w:r>
      <w:r w:rsidR="00A316FB">
        <w:rPr>
          <w:rStyle w:val="FootnoteReference"/>
          <w:rFonts w:ascii="Times New Roman" w:hAnsi="Times New Roman" w:cs="Times New Roman"/>
          <w:sz w:val="24"/>
          <w:szCs w:val="24"/>
        </w:rPr>
        <w:footnoteReference w:id="112"/>
      </w:r>
      <w:r w:rsidRPr="0042152F">
        <w:rPr>
          <w:rFonts w:ascii="Times New Roman" w:hAnsi="Times New Roman" w:cs="Times New Roman"/>
          <w:sz w:val="24"/>
          <w:szCs w:val="24"/>
        </w:rPr>
        <w:t xml:space="preserve"> This </w:t>
      </w:r>
      <w:r w:rsidR="009C4DF6" w:rsidRPr="0042152F">
        <w:rPr>
          <w:rFonts w:ascii="Times New Roman" w:hAnsi="Times New Roman" w:cs="Times New Roman"/>
          <w:sz w:val="24"/>
          <w:szCs w:val="24"/>
        </w:rPr>
        <w:t xml:space="preserve">result </w:t>
      </w:r>
      <w:r w:rsidRPr="0042152F">
        <w:rPr>
          <w:rFonts w:ascii="Times New Roman" w:hAnsi="Times New Roman" w:cs="Times New Roman"/>
          <w:sz w:val="24"/>
          <w:szCs w:val="24"/>
        </w:rPr>
        <w:t>undermine</w:t>
      </w:r>
      <w:r w:rsidR="009C4DF6" w:rsidRPr="0042152F">
        <w:rPr>
          <w:rFonts w:ascii="Times New Roman" w:hAnsi="Times New Roman" w:cs="Times New Roman"/>
          <w:sz w:val="24"/>
          <w:szCs w:val="24"/>
        </w:rPr>
        <w:t>d</w:t>
      </w:r>
      <w:r w:rsidRPr="0042152F">
        <w:rPr>
          <w:rFonts w:ascii="Times New Roman" w:hAnsi="Times New Roman" w:cs="Times New Roman"/>
          <w:sz w:val="24"/>
          <w:szCs w:val="24"/>
        </w:rPr>
        <w:t xml:space="preserve"> </w:t>
      </w:r>
      <w:r w:rsidRPr="0042152F">
        <w:rPr>
          <w:rFonts w:ascii="Times New Roman" w:hAnsi="Times New Roman" w:cs="Times New Roman"/>
          <w:i/>
          <w:iCs/>
          <w:sz w:val="24"/>
          <w:szCs w:val="24"/>
        </w:rPr>
        <w:t>MFW</w:t>
      </w:r>
      <w:r w:rsidRPr="0042152F">
        <w:rPr>
          <w:rFonts w:ascii="Times New Roman" w:hAnsi="Times New Roman" w:cs="Times New Roman"/>
          <w:sz w:val="24"/>
          <w:szCs w:val="24"/>
        </w:rPr>
        <w:t xml:space="preserve">’s chief benefit—avoiding the need for courts to engage in valuations when the parties in interest </w:t>
      </w:r>
      <w:r w:rsidR="009C4DF6" w:rsidRPr="0042152F">
        <w:rPr>
          <w:rFonts w:ascii="Times New Roman" w:hAnsi="Times New Roman" w:cs="Times New Roman"/>
          <w:sz w:val="24"/>
          <w:szCs w:val="24"/>
        </w:rPr>
        <w:t xml:space="preserve">had </w:t>
      </w:r>
      <w:r w:rsidRPr="0042152F">
        <w:rPr>
          <w:rFonts w:ascii="Times New Roman" w:hAnsi="Times New Roman" w:cs="Times New Roman"/>
          <w:sz w:val="24"/>
          <w:szCs w:val="24"/>
        </w:rPr>
        <w:t>embraced the transaction.</w:t>
      </w:r>
      <w:r w:rsidRPr="0042152F">
        <w:rPr>
          <w:rStyle w:val="FootnoteReference"/>
          <w:rFonts w:ascii="Times New Roman" w:hAnsi="Times New Roman" w:cs="Times New Roman"/>
          <w:sz w:val="24"/>
          <w:szCs w:val="24"/>
        </w:rPr>
        <w:footnoteReference w:id="113"/>
      </w:r>
      <w:r w:rsidRPr="0042152F">
        <w:rPr>
          <w:rFonts w:ascii="Times New Roman" w:hAnsi="Times New Roman" w:cs="Times New Roman"/>
          <w:sz w:val="24"/>
          <w:szCs w:val="24"/>
        </w:rPr>
        <w:t xml:space="preserve"> </w:t>
      </w:r>
    </w:p>
    <w:p w14:paraId="067E647B" w14:textId="769E9885" w:rsidR="00F2784F" w:rsidRPr="007C3EAF" w:rsidRDefault="00F552EE"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Not only that,</w:t>
      </w:r>
      <w:r w:rsidR="007C3EAF" w:rsidRPr="007C3EAF">
        <w:rPr>
          <w:rFonts w:ascii="Times New Roman" w:hAnsi="Times New Roman" w:cs="Times New Roman"/>
          <w:sz w:val="24"/>
          <w:szCs w:val="24"/>
        </w:rPr>
        <w:t xml:space="preserve"> th</w:t>
      </w:r>
      <w:r>
        <w:rPr>
          <w:rFonts w:ascii="Times New Roman" w:hAnsi="Times New Roman" w:cs="Times New Roman"/>
          <w:sz w:val="24"/>
          <w:szCs w:val="24"/>
        </w:rPr>
        <w:t>is disclosure failure meant that the</w:t>
      </w:r>
      <w:r w:rsidR="007C3EAF" w:rsidRPr="007C3EAF">
        <w:rPr>
          <w:rFonts w:ascii="Times New Roman" w:hAnsi="Times New Roman" w:cs="Times New Roman"/>
          <w:sz w:val="24"/>
          <w:szCs w:val="24"/>
        </w:rPr>
        <w:t xml:space="preserve"> controller would not receive </w:t>
      </w:r>
      <w:r>
        <w:rPr>
          <w:rFonts w:ascii="Times New Roman" w:hAnsi="Times New Roman" w:cs="Times New Roman"/>
          <w:sz w:val="24"/>
          <w:szCs w:val="24"/>
        </w:rPr>
        <w:t>any</w:t>
      </w:r>
      <w:r w:rsidR="007C3EAF" w:rsidRPr="007C3EAF">
        <w:rPr>
          <w:rFonts w:ascii="Times New Roman" w:hAnsi="Times New Roman" w:cs="Times New Roman"/>
          <w:sz w:val="24"/>
          <w:szCs w:val="24"/>
        </w:rPr>
        <w:t xml:space="preserve"> burden shift that they could have obtained by avoiding the special committee altogether and relying solely on a majority of minority shareholder vote. </w:t>
      </w:r>
      <w:r w:rsidR="00F6741E">
        <w:rPr>
          <w:rFonts w:ascii="Times New Roman" w:hAnsi="Times New Roman" w:cs="Times New Roman"/>
          <w:sz w:val="24"/>
          <w:szCs w:val="24"/>
        </w:rPr>
        <w:t>Thus</w:t>
      </w:r>
      <w:r w:rsidR="000363F5">
        <w:rPr>
          <w:rFonts w:ascii="Times New Roman" w:hAnsi="Times New Roman" w:cs="Times New Roman"/>
          <w:sz w:val="24"/>
          <w:szCs w:val="24"/>
        </w:rPr>
        <w:t>,</w:t>
      </w:r>
      <w:r w:rsidR="00F6741E">
        <w:rPr>
          <w:rFonts w:ascii="Times New Roman" w:hAnsi="Times New Roman" w:cs="Times New Roman"/>
          <w:sz w:val="24"/>
          <w:szCs w:val="24"/>
        </w:rPr>
        <w:t xml:space="preserve"> </w:t>
      </w:r>
      <w:r w:rsidR="007C3EAF" w:rsidRPr="007C3EAF">
        <w:rPr>
          <w:rFonts w:ascii="Times New Roman" w:hAnsi="Times New Roman" w:cs="Times New Roman"/>
          <w:sz w:val="24"/>
          <w:szCs w:val="24"/>
        </w:rPr>
        <w:t xml:space="preserve">attempting to secure both </w:t>
      </w:r>
      <w:r w:rsidR="007C3EAF" w:rsidRPr="00952A82">
        <w:rPr>
          <w:rFonts w:ascii="Times New Roman" w:hAnsi="Times New Roman" w:cs="Times New Roman"/>
          <w:i/>
          <w:iCs/>
          <w:sz w:val="24"/>
          <w:szCs w:val="24"/>
        </w:rPr>
        <w:t>MFW</w:t>
      </w:r>
      <w:r w:rsidR="007C3EAF" w:rsidRPr="007C3EAF">
        <w:rPr>
          <w:rFonts w:ascii="Times New Roman" w:hAnsi="Times New Roman" w:cs="Times New Roman"/>
          <w:sz w:val="24"/>
          <w:szCs w:val="24"/>
        </w:rPr>
        <w:t xml:space="preserve"> conditions and failing at one </w:t>
      </w:r>
      <w:r w:rsidR="0013321B">
        <w:rPr>
          <w:rFonts w:ascii="Times New Roman" w:hAnsi="Times New Roman" w:cs="Times New Roman"/>
          <w:sz w:val="24"/>
          <w:szCs w:val="24"/>
        </w:rPr>
        <w:t>could become</w:t>
      </w:r>
      <w:r w:rsidR="0013321B" w:rsidRPr="007C3EAF">
        <w:rPr>
          <w:rFonts w:ascii="Times New Roman" w:hAnsi="Times New Roman" w:cs="Times New Roman"/>
          <w:sz w:val="24"/>
          <w:szCs w:val="24"/>
        </w:rPr>
        <w:t xml:space="preserve"> </w:t>
      </w:r>
      <w:r w:rsidR="007C3EAF" w:rsidRPr="007C3EAF">
        <w:rPr>
          <w:rFonts w:ascii="Times New Roman" w:hAnsi="Times New Roman" w:cs="Times New Roman"/>
          <w:sz w:val="24"/>
          <w:szCs w:val="24"/>
        </w:rPr>
        <w:t>more detrimental than pursuing just one mechanism from the outset.</w:t>
      </w:r>
    </w:p>
    <w:p w14:paraId="7EF3325D" w14:textId="0EAD7959" w:rsidR="00036282" w:rsidRPr="0042152F" w:rsidRDefault="009B3CF4"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As an illustration of this development in </w:t>
      </w:r>
      <w:r w:rsidR="007C3EAF">
        <w:rPr>
          <w:rFonts w:ascii="Times New Roman" w:hAnsi="Times New Roman" w:cs="Times New Roman"/>
          <w:sz w:val="24"/>
          <w:szCs w:val="24"/>
        </w:rPr>
        <w:t xml:space="preserve">the </w:t>
      </w:r>
      <w:r w:rsidRPr="0042152F">
        <w:rPr>
          <w:rFonts w:ascii="Times New Roman" w:hAnsi="Times New Roman" w:cs="Times New Roman"/>
          <w:sz w:val="24"/>
          <w:szCs w:val="24"/>
        </w:rPr>
        <w:t xml:space="preserve">law, recall </w:t>
      </w:r>
      <w:r w:rsidR="00616597" w:rsidRPr="0042152F">
        <w:rPr>
          <w:rFonts w:ascii="Times New Roman" w:eastAsia="NewBaskervilleITCPro-Roman" w:hAnsi="Times New Roman" w:cs="Times New Roman"/>
          <w:kern w:val="0"/>
          <w:sz w:val="24"/>
          <w:szCs w:val="24"/>
        </w:rPr>
        <w:t xml:space="preserve">the </w:t>
      </w:r>
      <w:r w:rsidR="00616597" w:rsidRPr="0042152F">
        <w:rPr>
          <w:rFonts w:ascii="Times New Roman" w:eastAsia="NewBaskervilleITCPro-Roman" w:hAnsi="Times New Roman" w:cs="Times New Roman"/>
          <w:i/>
          <w:iCs/>
          <w:kern w:val="0"/>
          <w:sz w:val="24"/>
          <w:szCs w:val="24"/>
        </w:rPr>
        <w:t>Tornetta</w:t>
      </w:r>
      <w:r w:rsidR="00616597" w:rsidRPr="0042152F">
        <w:rPr>
          <w:rFonts w:ascii="Times New Roman" w:eastAsia="NewBaskervilleITCPro-Roman" w:hAnsi="Times New Roman" w:cs="Times New Roman"/>
          <w:kern w:val="0"/>
          <w:sz w:val="24"/>
          <w:szCs w:val="24"/>
        </w:rPr>
        <w:t xml:space="preserve"> case, </w:t>
      </w:r>
      <w:r w:rsidRPr="0042152F">
        <w:rPr>
          <w:rFonts w:ascii="Times New Roman" w:eastAsia="NewBaskervilleITCPro-Roman" w:hAnsi="Times New Roman" w:cs="Times New Roman"/>
          <w:kern w:val="0"/>
          <w:sz w:val="24"/>
          <w:szCs w:val="24"/>
        </w:rPr>
        <w:t xml:space="preserve">which challenged an </w:t>
      </w:r>
      <w:r w:rsidR="00616597" w:rsidRPr="0042152F">
        <w:rPr>
          <w:rFonts w:ascii="Times New Roman" w:eastAsia="NewBaskervilleITCPro-Roman" w:hAnsi="Times New Roman" w:cs="Times New Roman"/>
          <w:kern w:val="0"/>
          <w:sz w:val="24"/>
          <w:szCs w:val="24"/>
        </w:rPr>
        <w:t xml:space="preserve">outsized compensation package awarded to Elon Musk </w:t>
      </w:r>
      <w:r w:rsidRPr="0042152F">
        <w:rPr>
          <w:rFonts w:ascii="Times New Roman" w:eastAsia="NewBaskervilleITCPro-Roman" w:hAnsi="Times New Roman" w:cs="Times New Roman"/>
          <w:kern w:val="0"/>
          <w:sz w:val="24"/>
          <w:szCs w:val="24"/>
        </w:rPr>
        <w:t>that was</w:t>
      </w:r>
      <w:r w:rsidR="00616597" w:rsidRPr="0042152F">
        <w:rPr>
          <w:rFonts w:ascii="Times New Roman" w:eastAsia="NewBaskervilleITCPro-Roman" w:hAnsi="Times New Roman" w:cs="Times New Roman"/>
          <w:kern w:val="0"/>
          <w:sz w:val="24"/>
          <w:szCs w:val="24"/>
        </w:rPr>
        <w:t xml:space="preserve"> approved by a majority of minority shareholders.</w:t>
      </w:r>
      <w:r w:rsidR="00616597" w:rsidRPr="0042152F">
        <w:rPr>
          <w:rStyle w:val="FootnoteReference"/>
          <w:rFonts w:ascii="Times New Roman" w:eastAsia="NewBaskervilleITCPro-Roman" w:hAnsi="Times New Roman" w:cs="Times New Roman"/>
          <w:kern w:val="0"/>
          <w:sz w:val="24"/>
          <w:szCs w:val="24"/>
        </w:rPr>
        <w:footnoteReference w:id="114"/>
      </w:r>
      <w:r w:rsidR="00616597" w:rsidRPr="0042152F">
        <w:rPr>
          <w:rFonts w:ascii="Times New Roman" w:eastAsia="NewBaskervilleITCPro-Roman" w:hAnsi="Times New Roman" w:cs="Times New Roman"/>
          <w:kern w:val="0"/>
          <w:sz w:val="24"/>
          <w:szCs w:val="24"/>
        </w:rPr>
        <w:t xml:space="preserve"> </w:t>
      </w:r>
      <w:r w:rsidR="00B346B3">
        <w:rPr>
          <w:rFonts w:ascii="Times New Roman" w:eastAsia="NewBaskervilleITCPro-Roman" w:hAnsi="Times New Roman" w:cs="Times New Roman"/>
          <w:kern w:val="0"/>
          <w:sz w:val="24"/>
          <w:szCs w:val="24"/>
        </w:rPr>
        <w:t>T</w:t>
      </w:r>
      <w:r w:rsidR="00616597" w:rsidRPr="0042152F">
        <w:rPr>
          <w:rFonts w:ascii="Times New Roman" w:eastAsia="NewBaskervilleITCPro-Roman" w:hAnsi="Times New Roman" w:cs="Times New Roman"/>
          <w:kern w:val="0"/>
          <w:sz w:val="24"/>
          <w:szCs w:val="24"/>
        </w:rPr>
        <w:t xml:space="preserve">he court found that the </w:t>
      </w:r>
      <w:r w:rsidRPr="0042152F">
        <w:rPr>
          <w:rFonts w:ascii="Times New Roman" w:eastAsia="NewBaskervilleITCPro-Roman" w:hAnsi="Times New Roman" w:cs="Times New Roman"/>
          <w:kern w:val="0"/>
          <w:sz w:val="24"/>
          <w:szCs w:val="24"/>
        </w:rPr>
        <w:t xml:space="preserve">board </w:t>
      </w:r>
      <w:r w:rsidR="00225569" w:rsidRPr="0042152F">
        <w:rPr>
          <w:rFonts w:ascii="Times New Roman" w:eastAsia="NewBaskervilleITCPro-Roman" w:hAnsi="Times New Roman" w:cs="Times New Roman"/>
          <w:kern w:val="0"/>
          <w:sz w:val="24"/>
          <w:szCs w:val="24"/>
        </w:rPr>
        <w:t xml:space="preserve">compensation </w:t>
      </w:r>
      <w:r w:rsidR="00616597" w:rsidRPr="0042152F">
        <w:rPr>
          <w:rFonts w:ascii="Times New Roman" w:eastAsia="NewBaskervilleITCPro-Roman" w:hAnsi="Times New Roman" w:cs="Times New Roman"/>
          <w:kern w:val="0"/>
          <w:sz w:val="24"/>
          <w:szCs w:val="24"/>
        </w:rPr>
        <w:t>committee</w:t>
      </w:r>
      <w:r w:rsidRPr="0042152F">
        <w:rPr>
          <w:rFonts w:ascii="Times New Roman" w:eastAsia="NewBaskervilleITCPro-Roman" w:hAnsi="Times New Roman" w:cs="Times New Roman"/>
          <w:kern w:val="0"/>
          <w:sz w:val="24"/>
          <w:szCs w:val="24"/>
        </w:rPr>
        <w:t xml:space="preserve"> that awarded the </w:t>
      </w:r>
      <w:r w:rsidR="008F39F4">
        <w:rPr>
          <w:rFonts w:ascii="Times New Roman" w:eastAsia="NewBaskervilleITCPro-Roman" w:hAnsi="Times New Roman" w:cs="Times New Roman"/>
          <w:kern w:val="0"/>
          <w:sz w:val="24"/>
          <w:szCs w:val="24"/>
        </w:rPr>
        <w:t>package</w:t>
      </w:r>
      <w:r w:rsidR="00616597" w:rsidRPr="0042152F">
        <w:rPr>
          <w:rFonts w:ascii="Times New Roman" w:eastAsia="NewBaskervilleITCPro-Roman" w:hAnsi="Times New Roman" w:cs="Times New Roman"/>
          <w:kern w:val="0"/>
          <w:sz w:val="24"/>
          <w:szCs w:val="24"/>
        </w:rPr>
        <w:t xml:space="preserve"> consisted of conflicted directors who were beholden to Musk.</w:t>
      </w:r>
      <w:r w:rsidR="00E87A64" w:rsidRPr="0042152F">
        <w:rPr>
          <w:rStyle w:val="FootnoteReference"/>
          <w:rFonts w:ascii="Times New Roman" w:eastAsia="NewBaskervilleITCPro-Roman" w:hAnsi="Times New Roman" w:cs="Times New Roman"/>
          <w:kern w:val="0"/>
          <w:sz w:val="24"/>
          <w:szCs w:val="24"/>
        </w:rPr>
        <w:footnoteReference w:id="115"/>
      </w:r>
      <w:r w:rsidR="00616597" w:rsidRPr="0042152F">
        <w:rPr>
          <w:rFonts w:ascii="Times New Roman" w:eastAsia="NewBaskervilleITCPro-Roman" w:hAnsi="Times New Roman" w:cs="Times New Roman"/>
          <w:kern w:val="0"/>
          <w:sz w:val="24"/>
          <w:szCs w:val="24"/>
        </w:rPr>
        <w:t xml:space="preserve"> </w:t>
      </w:r>
      <w:r w:rsidR="00A125BE">
        <w:rPr>
          <w:rFonts w:ascii="Times New Roman" w:eastAsia="NewBaskervilleITCPro-Roman" w:hAnsi="Times New Roman" w:cs="Times New Roman"/>
          <w:kern w:val="0"/>
          <w:sz w:val="24"/>
          <w:szCs w:val="24"/>
        </w:rPr>
        <w:t>B</w:t>
      </w:r>
      <w:r w:rsidR="00616597" w:rsidRPr="0042152F">
        <w:rPr>
          <w:rFonts w:ascii="Times New Roman" w:eastAsia="NewBaskervilleITCPro-Roman" w:hAnsi="Times New Roman" w:cs="Times New Roman"/>
          <w:kern w:val="0"/>
          <w:sz w:val="24"/>
          <w:szCs w:val="24"/>
        </w:rPr>
        <w:t xml:space="preserve">ecause the disclosure to shareholders omitted these facts, the court </w:t>
      </w:r>
      <w:r w:rsidR="005E4E41" w:rsidRPr="0042152F">
        <w:rPr>
          <w:rFonts w:ascii="Times New Roman" w:eastAsia="NewBaskervilleITCPro-Roman" w:hAnsi="Times New Roman" w:cs="Times New Roman"/>
          <w:kern w:val="0"/>
          <w:sz w:val="24"/>
          <w:szCs w:val="24"/>
        </w:rPr>
        <w:t xml:space="preserve">disregarded </w:t>
      </w:r>
      <w:r w:rsidR="0026661D">
        <w:rPr>
          <w:rFonts w:ascii="Times New Roman" w:eastAsia="NewBaskervilleITCPro-Roman" w:hAnsi="Times New Roman" w:cs="Times New Roman"/>
          <w:kern w:val="0"/>
          <w:sz w:val="24"/>
          <w:szCs w:val="24"/>
        </w:rPr>
        <w:t xml:space="preserve">not just the special committee vote, but also </w:t>
      </w:r>
      <w:r w:rsidR="00616597" w:rsidRPr="0042152F">
        <w:rPr>
          <w:rFonts w:ascii="Times New Roman" w:eastAsia="NewBaskervilleITCPro-Roman" w:hAnsi="Times New Roman" w:cs="Times New Roman"/>
          <w:kern w:val="0"/>
          <w:sz w:val="24"/>
          <w:szCs w:val="24"/>
        </w:rPr>
        <w:t xml:space="preserve">the </w:t>
      </w:r>
      <w:r w:rsidR="0026661D">
        <w:rPr>
          <w:rFonts w:ascii="Times New Roman" w:eastAsia="NewBaskervilleITCPro-Roman" w:hAnsi="Times New Roman" w:cs="Times New Roman"/>
          <w:kern w:val="0"/>
          <w:sz w:val="24"/>
          <w:szCs w:val="24"/>
        </w:rPr>
        <w:t xml:space="preserve">majority of the minority shareholder </w:t>
      </w:r>
      <w:r w:rsidR="00616597" w:rsidRPr="0042152F">
        <w:rPr>
          <w:rFonts w:ascii="Times New Roman" w:eastAsia="NewBaskervilleITCPro-Roman" w:hAnsi="Times New Roman" w:cs="Times New Roman"/>
          <w:kern w:val="0"/>
          <w:sz w:val="24"/>
          <w:szCs w:val="24"/>
        </w:rPr>
        <w:t>approval.</w:t>
      </w:r>
      <w:r w:rsidR="00616597" w:rsidRPr="0042152F">
        <w:rPr>
          <w:rStyle w:val="FootnoteReference"/>
          <w:rFonts w:ascii="Times New Roman" w:hAnsi="Times New Roman" w:cs="Times New Roman"/>
          <w:sz w:val="24"/>
          <w:szCs w:val="24"/>
        </w:rPr>
        <w:footnoteReference w:id="116"/>
      </w:r>
      <w:r w:rsidR="00616597" w:rsidRPr="0042152F">
        <w:rPr>
          <w:rFonts w:ascii="Times New Roman" w:eastAsia="NewBaskervilleITCPro-Roman" w:hAnsi="Times New Roman" w:cs="Times New Roman"/>
          <w:kern w:val="0"/>
          <w:sz w:val="24"/>
          <w:szCs w:val="24"/>
        </w:rPr>
        <w:t xml:space="preserve"> With the failure of both cleansing mechanisms, the fairness of the deal</w:t>
      </w:r>
      <w:r w:rsidRPr="0042152F">
        <w:rPr>
          <w:rFonts w:ascii="Times New Roman" w:eastAsia="NewBaskervilleITCPro-Roman" w:hAnsi="Times New Roman" w:cs="Times New Roman"/>
          <w:kern w:val="0"/>
          <w:sz w:val="24"/>
          <w:szCs w:val="24"/>
        </w:rPr>
        <w:t xml:space="preserve"> and </w:t>
      </w:r>
      <w:r w:rsidR="00616597" w:rsidRPr="0042152F">
        <w:rPr>
          <w:rFonts w:ascii="Times New Roman" w:eastAsia="NewBaskervilleITCPro-Roman" w:hAnsi="Times New Roman" w:cs="Times New Roman"/>
          <w:kern w:val="0"/>
          <w:sz w:val="24"/>
          <w:szCs w:val="24"/>
        </w:rPr>
        <w:t>judicial valuation</w:t>
      </w:r>
      <w:r w:rsidR="0026661D">
        <w:rPr>
          <w:rFonts w:ascii="Times New Roman" w:eastAsia="NewBaskervilleITCPro-Roman" w:hAnsi="Times New Roman" w:cs="Times New Roman"/>
          <w:kern w:val="0"/>
          <w:sz w:val="24"/>
          <w:szCs w:val="24"/>
        </w:rPr>
        <w:t xml:space="preserve"> of Musk’s compensation</w:t>
      </w:r>
      <w:r w:rsidR="00616597" w:rsidRPr="0042152F">
        <w:rPr>
          <w:rFonts w:ascii="Times New Roman" w:eastAsia="NewBaskervilleITCPro-Roman" w:hAnsi="Times New Roman" w:cs="Times New Roman"/>
          <w:kern w:val="0"/>
          <w:sz w:val="24"/>
          <w:szCs w:val="24"/>
        </w:rPr>
        <w:t xml:space="preserve"> became central to the trial</w:t>
      </w:r>
      <w:r w:rsidRPr="0042152F">
        <w:rPr>
          <w:rFonts w:ascii="Times New Roman" w:eastAsia="NewBaskervilleITCPro-Roman" w:hAnsi="Times New Roman" w:cs="Times New Roman"/>
          <w:kern w:val="0"/>
          <w:sz w:val="24"/>
          <w:szCs w:val="24"/>
        </w:rPr>
        <w:t>,</w:t>
      </w:r>
      <w:r w:rsidR="00616597" w:rsidRPr="0042152F">
        <w:rPr>
          <w:rFonts w:ascii="Times New Roman" w:eastAsia="NewBaskervilleITCPro-Roman" w:hAnsi="Times New Roman" w:cs="Times New Roman"/>
          <w:kern w:val="0"/>
          <w:sz w:val="24"/>
          <w:szCs w:val="24"/>
        </w:rPr>
        <w:t xml:space="preserve"> without a favorable burden shift for the defendants.</w:t>
      </w:r>
      <w:r w:rsidR="00616597" w:rsidRPr="0042152F">
        <w:rPr>
          <w:rStyle w:val="FootnoteReference"/>
          <w:rFonts w:ascii="Times New Roman" w:hAnsi="Times New Roman" w:cs="Times New Roman"/>
          <w:sz w:val="24"/>
          <w:szCs w:val="24"/>
        </w:rPr>
        <w:footnoteReference w:id="117"/>
      </w:r>
      <w:r w:rsidR="00616597" w:rsidRPr="0042152F">
        <w:rPr>
          <w:rFonts w:ascii="Times New Roman" w:hAnsi="Times New Roman" w:cs="Times New Roman"/>
          <w:sz w:val="24"/>
          <w:szCs w:val="24"/>
        </w:rPr>
        <w:t xml:space="preserve"> </w:t>
      </w:r>
    </w:p>
    <w:p w14:paraId="7BB3CEB4" w14:textId="5FAB6AC2" w:rsidR="00F64FD9" w:rsidRPr="0042152F" w:rsidRDefault="00036282" w:rsidP="002E3243">
      <w:pPr>
        <w:spacing w:after="12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In sum, the </w:t>
      </w:r>
      <w:r w:rsidRPr="0042152F">
        <w:rPr>
          <w:rFonts w:ascii="Times New Roman" w:hAnsi="Times New Roman" w:cs="Times New Roman"/>
          <w:i/>
          <w:iCs/>
          <w:sz w:val="24"/>
          <w:szCs w:val="24"/>
        </w:rPr>
        <w:t xml:space="preserve">MFW </w:t>
      </w:r>
      <w:r w:rsidRPr="0042152F">
        <w:rPr>
          <w:rFonts w:ascii="Times New Roman" w:hAnsi="Times New Roman" w:cs="Times New Roman"/>
          <w:sz w:val="24"/>
          <w:szCs w:val="24"/>
        </w:rPr>
        <w:t xml:space="preserve">regime that was designed to provide controllers </w:t>
      </w:r>
      <w:r w:rsidR="00BE6FA1" w:rsidRPr="0042152F">
        <w:rPr>
          <w:rFonts w:ascii="Times New Roman" w:hAnsi="Times New Roman" w:cs="Times New Roman"/>
          <w:sz w:val="24"/>
          <w:szCs w:val="24"/>
        </w:rPr>
        <w:t xml:space="preserve">with </w:t>
      </w:r>
      <w:r w:rsidRPr="0042152F">
        <w:rPr>
          <w:rFonts w:ascii="Times New Roman" w:hAnsi="Times New Roman" w:cs="Times New Roman"/>
          <w:sz w:val="24"/>
          <w:szCs w:val="24"/>
        </w:rPr>
        <w:t xml:space="preserve">a </w:t>
      </w:r>
      <w:r w:rsidR="00841BF5" w:rsidRPr="0042152F">
        <w:rPr>
          <w:rFonts w:ascii="Times New Roman" w:hAnsi="Times New Roman" w:cs="Times New Roman"/>
          <w:sz w:val="24"/>
          <w:szCs w:val="24"/>
        </w:rPr>
        <w:t>process that would</w:t>
      </w:r>
      <w:r w:rsidRPr="0042152F">
        <w:rPr>
          <w:rFonts w:ascii="Times New Roman" w:hAnsi="Times New Roman" w:cs="Times New Roman"/>
          <w:sz w:val="24"/>
          <w:szCs w:val="24"/>
        </w:rPr>
        <w:t xml:space="preserve"> avoid </w:t>
      </w:r>
      <w:r w:rsidR="008E3396">
        <w:rPr>
          <w:rFonts w:ascii="Times New Roman" w:hAnsi="Times New Roman" w:cs="Times New Roman"/>
          <w:sz w:val="24"/>
          <w:szCs w:val="24"/>
        </w:rPr>
        <w:t xml:space="preserve">a </w:t>
      </w:r>
      <w:r w:rsidRPr="0042152F">
        <w:rPr>
          <w:rFonts w:ascii="Times New Roman" w:hAnsi="Times New Roman" w:cs="Times New Roman"/>
          <w:sz w:val="24"/>
          <w:szCs w:val="24"/>
        </w:rPr>
        <w:t>searching entire fairness review has become more demanding</w:t>
      </w:r>
      <w:r w:rsidR="0026661D">
        <w:rPr>
          <w:rFonts w:ascii="Times New Roman" w:hAnsi="Times New Roman" w:cs="Times New Roman"/>
          <w:sz w:val="24"/>
          <w:szCs w:val="24"/>
        </w:rPr>
        <w:t>,</w:t>
      </w:r>
      <w:r w:rsidRPr="0042152F">
        <w:rPr>
          <w:rFonts w:ascii="Times New Roman" w:hAnsi="Times New Roman" w:cs="Times New Roman"/>
          <w:sz w:val="24"/>
          <w:szCs w:val="24"/>
        </w:rPr>
        <w:t xml:space="preserve"> and therefore</w:t>
      </w:r>
      <w:r w:rsidR="0026661D">
        <w:rPr>
          <w:rFonts w:ascii="Times New Roman" w:hAnsi="Times New Roman" w:cs="Times New Roman"/>
          <w:sz w:val="24"/>
          <w:szCs w:val="24"/>
        </w:rPr>
        <w:t>,</w:t>
      </w:r>
      <w:r w:rsidRPr="0042152F">
        <w:rPr>
          <w:rFonts w:ascii="Times New Roman" w:hAnsi="Times New Roman" w:cs="Times New Roman"/>
          <w:sz w:val="24"/>
          <w:szCs w:val="24"/>
        </w:rPr>
        <w:t xml:space="preserve"> more likely </w:t>
      </w:r>
      <w:r w:rsidR="009C4DF6" w:rsidRPr="0042152F">
        <w:rPr>
          <w:rFonts w:ascii="Times New Roman" w:hAnsi="Times New Roman" w:cs="Times New Roman"/>
          <w:sz w:val="24"/>
          <w:szCs w:val="24"/>
        </w:rPr>
        <w:t>to fail</w:t>
      </w:r>
      <w:r w:rsidRPr="0042152F">
        <w:rPr>
          <w:rFonts w:ascii="Times New Roman" w:hAnsi="Times New Roman" w:cs="Times New Roman"/>
          <w:sz w:val="24"/>
          <w:szCs w:val="24"/>
        </w:rPr>
        <w:t xml:space="preserve">. </w:t>
      </w:r>
      <w:r w:rsidR="00F53CF8">
        <w:rPr>
          <w:rFonts w:ascii="Times New Roman" w:hAnsi="Times New Roman" w:cs="Times New Roman"/>
          <w:sz w:val="24"/>
          <w:szCs w:val="24"/>
        </w:rPr>
        <w:t>W</w:t>
      </w:r>
      <w:r w:rsidR="00841BF5" w:rsidRPr="0042152F">
        <w:rPr>
          <w:rFonts w:ascii="Times New Roman" w:hAnsi="Times New Roman" w:cs="Times New Roman"/>
          <w:sz w:val="24"/>
          <w:szCs w:val="24"/>
        </w:rPr>
        <w:t xml:space="preserve">hen </w:t>
      </w:r>
      <w:r w:rsidR="009C4DF6" w:rsidRPr="0042152F">
        <w:rPr>
          <w:rFonts w:ascii="Times New Roman" w:hAnsi="Times New Roman" w:cs="Times New Roman"/>
          <w:sz w:val="24"/>
          <w:szCs w:val="24"/>
        </w:rPr>
        <w:t>failure occurs,</w:t>
      </w:r>
      <w:r w:rsidRPr="0042152F">
        <w:rPr>
          <w:rFonts w:ascii="Times New Roman" w:hAnsi="Times New Roman" w:cs="Times New Roman"/>
          <w:sz w:val="24"/>
          <w:szCs w:val="24"/>
        </w:rPr>
        <w:t xml:space="preserve"> the court is left with the </w:t>
      </w:r>
      <w:r w:rsidR="0026661D">
        <w:rPr>
          <w:rFonts w:ascii="Times New Roman" w:hAnsi="Times New Roman" w:cs="Times New Roman"/>
          <w:sz w:val="24"/>
          <w:szCs w:val="24"/>
        </w:rPr>
        <w:t xml:space="preserve">unenviable </w:t>
      </w:r>
      <w:r w:rsidRPr="0042152F">
        <w:rPr>
          <w:rFonts w:ascii="Times New Roman" w:hAnsi="Times New Roman" w:cs="Times New Roman"/>
          <w:sz w:val="24"/>
          <w:szCs w:val="24"/>
        </w:rPr>
        <w:t>task of determining whether the price and process</w:t>
      </w:r>
      <w:r w:rsidR="007C5FAA" w:rsidRPr="0042152F">
        <w:rPr>
          <w:rFonts w:ascii="Times New Roman" w:hAnsi="Times New Roman" w:cs="Times New Roman"/>
          <w:sz w:val="24"/>
          <w:szCs w:val="24"/>
        </w:rPr>
        <w:t xml:space="preserve"> that led to the transaction</w:t>
      </w:r>
      <w:r w:rsidRPr="0042152F">
        <w:rPr>
          <w:rFonts w:ascii="Times New Roman" w:hAnsi="Times New Roman" w:cs="Times New Roman"/>
          <w:sz w:val="24"/>
          <w:szCs w:val="24"/>
        </w:rPr>
        <w:t xml:space="preserve"> were fair, </w:t>
      </w:r>
      <w:r w:rsidR="007C5FAA" w:rsidRPr="0042152F">
        <w:rPr>
          <w:rFonts w:ascii="Times New Roman" w:hAnsi="Times New Roman" w:cs="Times New Roman"/>
          <w:sz w:val="24"/>
          <w:szCs w:val="24"/>
        </w:rPr>
        <w:t>both of which require</w:t>
      </w:r>
      <w:r w:rsidR="008E611B">
        <w:rPr>
          <w:rFonts w:ascii="Times New Roman" w:hAnsi="Times New Roman" w:cs="Times New Roman"/>
          <w:sz w:val="24"/>
          <w:szCs w:val="24"/>
        </w:rPr>
        <w:t xml:space="preserve"> </w:t>
      </w:r>
      <w:r w:rsidR="007C5FAA" w:rsidRPr="0042152F">
        <w:rPr>
          <w:rFonts w:ascii="Times New Roman" w:hAnsi="Times New Roman" w:cs="Times New Roman"/>
          <w:sz w:val="24"/>
          <w:szCs w:val="24"/>
        </w:rPr>
        <w:t xml:space="preserve">valuation. In the next Part, we argue that it is impossible for the court to soundly </w:t>
      </w:r>
      <w:r w:rsidR="00AF25CC">
        <w:rPr>
          <w:rFonts w:ascii="Times New Roman" w:hAnsi="Times New Roman" w:cs="Times New Roman"/>
          <w:sz w:val="24"/>
          <w:szCs w:val="24"/>
        </w:rPr>
        <w:t>perform</w:t>
      </w:r>
      <w:r w:rsidR="00AF25CC" w:rsidRPr="0042152F">
        <w:rPr>
          <w:rFonts w:ascii="Times New Roman" w:hAnsi="Times New Roman" w:cs="Times New Roman"/>
          <w:sz w:val="24"/>
          <w:szCs w:val="24"/>
        </w:rPr>
        <w:t xml:space="preserve"> </w:t>
      </w:r>
      <w:r w:rsidR="007C5FAA" w:rsidRPr="0042152F">
        <w:rPr>
          <w:rFonts w:ascii="Times New Roman" w:hAnsi="Times New Roman" w:cs="Times New Roman"/>
          <w:sz w:val="24"/>
          <w:szCs w:val="24"/>
        </w:rPr>
        <w:t xml:space="preserve">this task when a controller’s idiosyncratic vision is at stake. </w:t>
      </w:r>
    </w:p>
    <w:p w14:paraId="13BF2E8E" w14:textId="462EDFEA" w:rsidR="00E71CEC" w:rsidRPr="0042152F" w:rsidRDefault="00E71CEC" w:rsidP="00B54C7C">
      <w:pPr>
        <w:pStyle w:val="Heading1"/>
        <w:numPr>
          <w:ilvl w:val="0"/>
          <w:numId w:val="35"/>
        </w:numPr>
        <w:spacing w:before="0" w:after="0"/>
      </w:pPr>
      <w:r w:rsidRPr="0042152F">
        <w:t xml:space="preserve"> </w:t>
      </w:r>
      <w:bookmarkStart w:id="11" w:name="_Toc181789836"/>
      <w:r w:rsidRPr="0042152F">
        <w:t xml:space="preserve">The Impossibility of Valuing </w:t>
      </w:r>
      <w:r w:rsidR="00751A1B" w:rsidRPr="0042152F">
        <w:t>Idiosyncratic</w:t>
      </w:r>
      <w:r w:rsidRPr="0042152F">
        <w:t xml:space="preserve"> Vision</w:t>
      </w:r>
      <w:bookmarkEnd w:id="11"/>
    </w:p>
    <w:p w14:paraId="4908F351" w14:textId="7817459D" w:rsidR="00F95152" w:rsidRPr="0042152F" w:rsidRDefault="00F95152" w:rsidP="002E3243">
      <w:pPr>
        <w:spacing w:after="120" w:line="360" w:lineRule="auto"/>
        <w:jc w:val="both"/>
        <w:rPr>
          <w:rFonts w:ascii="Times New Roman" w:hAnsi="Times New Roman" w:cs="Times New Roman"/>
          <w:sz w:val="24"/>
          <w:szCs w:val="24"/>
        </w:rPr>
      </w:pPr>
      <w:r w:rsidRPr="0042152F">
        <w:rPr>
          <w:rFonts w:ascii="Times New Roman" w:hAnsi="Times New Roman" w:cs="Times New Roman"/>
          <w:sz w:val="24"/>
          <w:szCs w:val="24"/>
        </w:rPr>
        <w:tab/>
      </w:r>
      <w:r w:rsidR="002630A1" w:rsidRPr="0042152F">
        <w:rPr>
          <w:rFonts w:ascii="Times New Roman" w:hAnsi="Times New Roman" w:cs="Times New Roman"/>
          <w:sz w:val="24"/>
          <w:szCs w:val="24"/>
        </w:rPr>
        <w:t xml:space="preserve">As the introduction highlighted and this Part discusses in detail, the </w:t>
      </w:r>
      <w:r w:rsidR="002C3166" w:rsidRPr="0042152F">
        <w:rPr>
          <w:rFonts w:ascii="Times New Roman" w:hAnsi="Times New Roman" w:cs="Times New Roman"/>
          <w:sz w:val="24"/>
          <w:szCs w:val="24"/>
        </w:rPr>
        <w:t>core question underlying</w:t>
      </w:r>
      <w:r w:rsidR="002630A1" w:rsidRPr="0042152F">
        <w:rPr>
          <w:rFonts w:ascii="Times New Roman" w:hAnsi="Times New Roman" w:cs="Times New Roman"/>
          <w:sz w:val="24"/>
          <w:szCs w:val="24"/>
        </w:rPr>
        <w:t xml:space="preserve"> the</w:t>
      </w:r>
      <w:r w:rsidR="002C3166" w:rsidRPr="0042152F">
        <w:rPr>
          <w:rFonts w:ascii="Times New Roman" w:hAnsi="Times New Roman" w:cs="Times New Roman"/>
          <w:sz w:val="24"/>
          <w:szCs w:val="24"/>
        </w:rPr>
        <w:t xml:space="preserve"> </w:t>
      </w:r>
      <w:r w:rsidR="002C3166" w:rsidRPr="0042152F">
        <w:rPr>
          <w:rFonts w:ascii="Times New Roman" w:hAnsi="Times New Roman" w:cs="Times New Roman"/>
          <w:i/>
          <w:iCs/>
          <w:sz w:val="24"/>
          <w:szCs w:val="24"/>
        </w:rPr>
        <w:t xml:space="preserve">Tornetta </w:t>
      </w:r>
      <w:r w:rsidR="002630A1" w:rsidRPr="0042152F">
        <w:rPr>
          <w:rFonts w:ascii="Times New Roman" w:hAnsi="Times New Roman" w:cs="Times New Roman"/>
          <w:sz w:val="24"/>
          <w:szCs w:val="24"/>
        </w:rPr>
        <w:t xml:space="preserve">case </w:t>
      </w:r>
      <w:r w:rsidR="002C3166" w:rsidRPr="0042152F">
        <w:rPr>
          <w:rFonts w:ascii="Times New Roman" w:hAnsi="Times New Roman" w:cs="Times New Roman"/>
          <w:sz w:val="24"/>
          <w:szCs w:val="24"/>
        </w:rPr>
        <w:t xml:space="preserve">was the value of Musk’s vision for Tesla. </w:t>
      </w:r>
      <w:r w:rsidRPr="0042152F">
        <w:rPr>
          <w:rFonts w:ascii="Times New Roman" w:hAnsi="Times New Roman" w:cs="Times New Roman"/>
          <w:sz w:val="24"/>
          <w:szCs w:val="24"/>
        </w:rPr>
        <w:t xml:space="preserve">This Part </w:t>
      </w:r>
      <w:r w:rsidR="0011385A" w:rsidRPr="0042152F">
        <w:rPr>
          <w:rFonts w:ascii="Times New Roman" w:hAnsi="Times New Roman" w:cs="Times New Roman"/>
          <w:sz w:val="24"/>
          <w:szCs w:val="24"/>
        </w:rPr>
        <w:t xml:space="preserve">defines idiosyncratic vision and then explains why it is impossible </w:t>
      </w:r>
      <w:r w:rsidR="00412527" w:rsidRPr="0042152F">
        <w:rPr>
          <w:rFonts w:ascii="Times New Roman" w:hAnsi="Times New Roman" w:cs="Times New Roman"/>
          <w:sz w:val="24"/>
          <w:szCs w:val="24"/>
        </w:rPr>
        <w:t xml:space="preserve">for courts </w:t>
      </w:r>
      <w:r w:rsidR="0011385A" w:rsidRPr="0042152F">
        <w:rPr>
          <w:rFonts w:ascii="Times New Roman" w:hAnsi="Times New Roman" w:cs="Times New Roman"/>
          <w:sz w:val="24"/>
          <w:szCs w:val="24"/>
        </w:rPr>
        <w:t>to value</w:t>
      </w:r>
      <w:r w:rsidR="00C1165A" w:rsidRPr="0042152F">
        <w:rPr>
          <w:rFonts w:ascii="Times New Roman" w:hAnsi="Times New Roman" w:cs="Times New Roman"/>
          <w:sz w:val="24"/>
          <w:szCs w:val="24"/>
        </w:rPr>
        <w:t xml:space="preserve"> it</w:t>
      </w:r>
      <w:r w:rsidR="0011385A" w:rsidRPr="0042152F">
        <w:rPr>
          <w:rFonts w:ascii="Times New Roman" w:hAnsi="Times New Roman" w:cs="Times New Roman"/>
          <w:sz w:val="24"/>
          <w:szCs w:val="24"/>
        </w:rPr>
        <w:t xml:space="preserve">. It </w:t>
      </w:r>
      <w:r w:rsidR="002630A1" w:rsidRPr="0042152F">
        <w:rPr>
          <w:rFonts w:ascii="Times New Roman" w:hAnsi="Times New Roman" w:cs="Times New Roman"/>
          <w:sz w:val="24"/>
          <w:szCs w:val="24"/>
        </w:rPr>
        <w:t xml:space="preserve">then </w:t>
      </w:r>
      <w:r w:rsidR="00FA27BE" w:rsidRPr="0042152F">
        <w:rPr>
          <w:rFonts w:ascii="Times New Roman" w:hAnsi="Times New Roman" w:cs="Times New Roman"/>
          <w:sz w:val="24"/>
          <w:szCs w:val="24"/>
        </w:rPr>
        <w:t>demonstrates</w:t>
      </w:r>
      <w:r w:rsidR="0011385A" w:rsidRPr="0042152F">
        <w:rPr>
          <w:rFonts w:ascii="Times New Roman" w:hAnsi="Times New Roman" w:cs="Times New Roman"/>
          <w:sz w:val="24"/>
          <w:szCs w:val="24"/>
        </w:rPr>
        <w:t xml:space="preserve"> how this valuation problem </w:t>
      </w:r>
      <w:r w:rsidR="002630A1" w:rsidRPr="0042152F">
        <w:rPr>
          <w:rFonts w:ascii="Times New Roman" w:hAnsi="Times New Roman" w:cs="Times New Roman"/>
          <w:sz w:val="24"/>
          <w:szCs w:val="24"/>
        </w:rPr>
        <w:t>results in</w:t>
      </w:r>
      <w:r w:rsidR="005C5108" w:rsidRPr="0042152F">
        <w:rPr>
          <w:rFonts w:ascii="Times New Roman" w:hAnsi="Times New Roman" w:cs="Times New Roman"/>
          <w:sz w:val="24"/>
          <w:szCs w:val="24"/>
        </w:rPr>
        <w:t xml:space="preserve"> potent challenges to judicial review under entire fairness</w:t>
      </w:r>
      <w:r w:rsidR="002630A1" w:rsidRPr="0042152F">
        <w:rPr>
          <w:rFonts w:ascii="Times New Roman" w:hAnsi="Times New Roman" w:cs="Times New Roman"/>
          <w:sz w:val="24"/>
          <w:szCs w:val="24"/>
        </w:rPr>
        <w:t>, relying on two key cases</w:t>
      </w:r>
      <w:r w:rsidR="005C5108" w:rsidRPr="0042152F">
        <w:rPr>
          <w:rFonts w:ascii="Times New Roman" w:hAnsi="Times New Roman" w:cs="Times New Roman"/>
          <w:sz w:val="24"/>
          <w:szCs w:val="24"/>
        </w:rPr>
        <w:t xml:space="preserve">: </w:t>
      </w:r>
      <w:r w:rsidR="0011385A" w:rsidRPr="0042152F">
        <w:rPr>
          <w:rFonts w:ascii="Times New Roman" w:hAnsi="Times New Roman" w:cs="Times New Roman"/>
          <w:i/>
          <w:iCs/>
          <w:sz w:val="24"/>
          <w:szCs w:val="24"/>
        </w:rPr>
        <w:t>Tornetta v. Musk</w:t>
      </w:r>
      <w:r w:rsidR="0011385A" w:rsidRPr="0042152F">
        <w:rPr>
          <w:rFonts w:ascii="Times New Roman" w:hAnsi="Times New Roman" w:cs="Times New Roman"/>
          <w:sz w:val="24"/>
          <w:szCs w:val="24"/>
        </w:rPr>
        <w:t xml:space="preserve">, </w:t>
      </w:r>
      <w:r w:rsidR="007C5FAA" w:rsidRPr="0042152F">
        <w:rPr>
          <w:rFonts w:ascii="Times New Roman" w:hAnsi="Times New Roman" w:cs="Times New Roman"/>
          <w:sz w:val="24"/>
          <w:szCs w:val="24"/>
        </w:rPr>
        <w:t xml:space="preserve">in which </w:t>
      </w:r>
      <w:r w:rsidR="0011385A" w:rsidRPr="0042152F">
        <w:rPr>
          <w:rFonts w:ascii="Times New Roman" w:hAnsi="Times New Roman" w:cs="Times New Roman"/>
          <w:sz w:val="24"/>
          <w:szCs w:val="24"/>
        </w:rPr>
        <w:t>the Delaware Court of Chancery rescinded a record-breaking pay package for Tesla’s controlling shareholder,</w:t>
      </w:r>
      <w:r w:rsidR="005C5108" w:rsidRPr="0042152F">
        <w:rPr>
          <w:rStyle w:val="FootnoteReference"/>
          <w:rFonts w:ascii="Times New Roman" w:hAnsi="Times New Roman" w:cs="Times New Roman"/>
          <w:sz w:val="24"/>
          <w:szCs w:val="24"/>
        </w:rPr>
        <w:footnoteReference w:id="118"/>
      </w:r>
      <w:r w:rsidR="0011385A" w:rsidRPr="0042152F">
        <w:rPr>
          <w:rFonts w:ascii="Times New Roman" w:hAnsi="Times New Roman" w:cs="Times New Roman"/>
          <w:sz w:val="24"/>
          <w:szCs w:val="24"/>
        </w:rPr>
        <w:t xml:space="preserve"> Elon Musk</w:t>
      </w:r>
      <w:r w:rsidR="005C5108" w:rsidRPr="0042152F">
        <w:rPr>
          <w:rFonts w:ascii="Times New Roman" w:hAnsi="Times New Roman" w:cs="Times New Roman"/>
          <w:sz w:val="24"/>
          <w:szCs w:val="24"/>
        </w:rPr>
        <w:t>;</w:t>
      </w:r>
      <w:r w:rsidR="005C5108" w:rsidRPr="0042152F">
        <w:rPr>
          <w:rStyle w:val="FootnoteReference"/>
          <w:rFonts w:ascii="Times New Roman" w:hAnsi="Times New Roman" w:cs="Times New Roman"/>
          <w:sz w:val="24"/>
          <w:szCs w:val="24"/>
        </w:rPr>
        <w:footnoteReference w:id="119"/>
      </w:r>
      <w:r w:rsidR="005C5108" w:rsidRPr="0042152F">
        <w:rPr>
          <w:rFonts w:ascii="Times New Roman" w:hAnsi="Times New Roman" w:cs="Times New Roman"/>
          <w:sz w:val="24"/>
          <w:szCs w:val="24"/>
        </w:rPr>
        <w:t xml:space="preserve"> and</w:t>
      </w:r>
      <w:r w:rsidR="007C5FAA" w:rsidRPr="0042152F">
        <w:rPr>
          <w:rFonts w:ascii="Times New Roman" w:hAnsi="Times New Roman" w:cs="Times New Roman"/>
          <w:sz w:val="24"/>
          <w:szCs w:val="24"/>
        </w:rPr>
        <w:t xml:space="preserve"> </w:t>
      </w:r>
      <w:r w:rsidR="00FA27BE" w:rsidRPr="0042152F">
        <w:rPr>
          <w:rFonts w:ascii="Times New Roman" w:hAnsi="Times New Roman" w:cs="Times New Roman"/>
          <w:i/>
          <w:iCs/>
          <w:sz w:val="24"/>
          <w:szCs w:val="24"/>
        </w:rPr>
        <w:t>In re Tesla</w:t>
      </w:r>
      <w:r w:rsidR="00FA27BE" w:rsidRPr="0042152F">
        <w:rPr>
          <w:rFonts w:ascii="Times New Roman" w:hAnsi="Times New Roman" w:cs="Times New Roman"/>
          <w:sz w:val="24"/>
          <w:szCs w:val="24"/>
        </w:rPr>
        <w:t xml:space="preserve">, </w:t>
      </w:r>
      <w:r w:rsidR="0059608A" w:rsidRPr="0042152F">
        <w:rPr>
          <w:rFonts w:ascii="Times New Roman" w:hAnsi="Times New Roman" w:cs="Times New Roman"/>
          <w:sz w:val="24"/>
          <w:szCs w:val="24"/>
        </w:rPr>
        <w:t xml:space="preserve">in which </w:t>
      </w:r>
      <w:r w:rsidR="00FA27BE" w:rsidRPr="0042152F">
        <w:rPr>
          <w:rFonts w:ascii="Times New Roman" w:hAnsi="Times New Roman" w:cs="Times New Roman"/>
          <w:sz w:val="24"/>
          <w:szCs w:val="24"/>
        </w:rPr>
        <w:t>the Court of Chancery considered whether Tesla paid an adequate price for SolarCity, another company that Musk controlled.</w:t>
      </w:r>
      <w:r w:rsidR="007C5FAA" w:rsidRPr="0042152F">
        <w:rPr>
          <w:rStyle w:val="FootnoteReference"/>
          <w:rFonts w:ascii="Times New Roman" w:hAnsi="Times New Roman" w:cs="Times New Roman"/>
          <w:sz w:val="24"/>
          <w:szCs w:val="24"/>
        </w:rPr>
        <w:footnoteReference w:id="120"/>
      </w:r>
      <w:r w:rsidR="0059608A" w:rsidRPr="0042152F">
        <w:rPr>
          <w:rFonts w:ascii="Times New Roman" w:hAnsi="Times New Roman" w:cs="Times New Roman"/>
          <w:sz w:val="24"/>
          <w:szCs w:val="24"/>
        </w:rPr>
        <w:t xml:space="preserve"> </w:t>
      </w:r>
    </w:p>
    <w:p w14:paraId="2DAD4D68" w14:textId="2FD68C07" w:rsidR="00E77E4D" w:rsidRPr="0042152F" w:rsidRDefault="00CE7037" w:rsidP="00B26031">
      <w:pPr>
        <w:pStyle w:val="Heading2"/>
        <w:numPr>
          <w:ilvl w:val="0"/>
          <w:numId w:val="34"/>
        </w:numPr>
        <w:spacing w:before="0" w:line="360" w:lineRule="auto"/>
      </w:pPr>
      <w:bookmarkStart w:id="12" w:name="_Toc181789837"/>
      <w:r w:rsidRPr="0042152F">
        <w:t xml:space="preserve">Valuing </w:t>
      </w:r>
      <w:r w:rsidR="00767A28" w:rsidRPr="0042152F">
        <w:t>a</w:t>
      </w:r>
      <w:r w:rsidR="00F64FD9" w:rsidRPr="0042152F">
        <w:t>n Entrepreneu</w:t>
      </w:r>
      <w:r w:rsidR="0011385A" w:rsidRPr="0042152F">
        <w:t>r</w:t>
      </w:r>
      <w:r w:rsidR="00F64FD9" w:rsidRPr="0042152F">
        <w:t>’s Idiosyncratic Vision</w:t>
      </w:r>
      <w:bookmarkEnd w:id="12"/>
    </w:p>
    <w:p w14:paraId="4335E106" w14:textId="1DFF39B0" w:rsidR="00E77E4D" w:rsidRPr="0042152F" w:rsidRDefault="00E77E4D" w:rsidP="002E3243">
      <w:pPr>
        <w:spacing w:after="120" w:line="360" w:lineRule="auto"/>
        <w:ind w:firstLine="360"/>
        <w:jc w:val="both"/>
        <w:rPr>
          <w:rFonts w:ascii="Times New Roman" w:hAnsi="Times New Roman" w:cs="Times New Roman"/>
        </w:rPr>
      </w:pPr>
      <w:r w:rsidRPr="0042152F">
        <w:rPr>
          <w:rFonts w:ascii="Times New Roman" w:hAnsi="Times New Roman" w:cs="Times New Roman"/>
          <w:sz w:val="24"/>
          <w:szCs w:val="24"/>
        </w:rPr>
        <w:t xml:space="preserve">In this Section, we first define idiosyncratic vision. </w:t>
      </w:r>
      <w:r w:rsidR="00D62847">
        <w:rPr>
          <w:rFonts w:ascii="Times New Roman" w:hAnsi="Times New Roman" w:cs="Times New Roman"/>
          <w:sz w:val="24"/>
          <w:szCs w:val="24"/>
        </w:rPr>
        <w:t>W</w:t>
      </w:r>
      <w:r w:rsidRPr="0042152F">
        <w:rPr>
          <w:rFonts w:ascii="Times New Roman" w:hAnsi="Times New Roman" w:cs="Times New Roman"/>
          <w:sz w:val="24"/>
          <w:szCs w:val="24"/>
        </w:rPr>
        <w:t xml:space="preserve">e show how vision can create immense value, but its value is not ascertainable </w:t>
      </w:r>
      <w:r w:rsidRPr="0042152F">
        <w:rPr>
          <w:rFonts w:ascii="Times New Roman" w:hAnsi="Times New Roman" w:cs="Times New Roman"/>
          <w:i/>
          <w:iCs/>
          <w:sz w:val="24"/>
          <w:szCs w:val="24"/>
        </w:rPr>
        <w:t>ex ante</w:t>
      </w:r>
      <w:r w:rsidRPr="0042152F">
        <w:rPr>
          <w:rFonts w:ascii="Times New Roman" w:hAnsi="Times New Roman" w:cs="Times New Roman"/>
          <w:sz w:val="24"/>
          <w:szCs w:val="24"/>
        </w:rPr>
        <w:t xml:space="preserve">. We next describe the leading valuation methods used by experts, litigants, and courts, and describe why they are not able to reliably </w:t>
      </w:r>
      <w:r w:rsidR="00B57175">
        <w:rPr>
          <w:rFonts w:ascii="Times New Roman" w:hAnsi="Times New Roman" w:cs="Times New Roman"/>
          <w:sz w:val="24"/>
          <w:szCs w:val="24"/>
        </w:rPr>
        <w:t>estimate</w:t>
      </w:r>
      <w:r w:rsidR="00B57175"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an entrepreneur’s idiosyncratic vision. </w:t>
      </w:r>
    </w:p>
    <w:p w14:paraId="5302E99C" w14:textId="0E5EB348" w:rsidR="009C2399" w:rsidRPr="0042152F" w:rsidRDefault="0008781C" w:rsidP="00B26031">
      <w:pPr>
        <w:pStyle w:val="Heading3"/>
        <w:spacing w:before="0" w:after="0"/>
      </w:pPr>
      <w:bookmarkStart w:id="13" w:name="_Toc181789838"/>
      <w:r w:rsidRPr="0042152F">
        <w:t>i</w:t>
      </w:r>
      <w:r w:rsidR="009C2399" w:rsidRPr="0042152F">
        <w:t>.</w:t>
      </w:r>
      <w:r w:rsidR="00326D7C" w:rsidRPr="0042152F">
        <w:tab/>
      </w:r>
      <w:r w:rsidR="00D67519" w:rsidRPr="0042152F">
        <w:t>Idiosyncratic Vision</w:t>
      </w:r>
      <w:bookmarkEnd w:id="13"/>
    </w:p>
    <w:p w14:paraId="2B185E0D" w14:textId="097EEF0E" w:rsidR="00F64FD9" w:rsidRPr="0042152F" w:rsidRDefault="00F64FD9" w:rsidP="00B54C7C">
      <w:pPr>
        <w:spacing w:after="0" w:line="360" w:lineRule="auto"/>
        <w:ind w:firstLine="360"/>
        <w:jc w:val="both"/>
        <w:rPr>
          <w:rFonts w:ascii="Times New Roman" w:hAnsi="Times New Roman" w:cs="Times New Roman"/>
          <w:sz w:val="24"/>
          <w:szCs w:val="24"/>
        </w:rPr>
      </w:pPr>
      <w:r w:rsidRPr="0042152F">
        <w:rPr>
          <w:rFonts w:ascii="Times New Roman" w:hAnsi="Times New Roman" w:cs="Times New Roman"/>
          <w:sz w:val="24"/>
          <w:szCs w:val="24"/>
        </w:rPr>
        <w:t xml:space="preserve">Entrepreneurs </w:t>
      </w:r>
      <w:r w:rsidR="00E00EB6" w:rsidRPr="0042152F">
        <w:rPr>
          <w:rFonts w:ascii="Times New Roman" w:hAnsi="Times New Roman" w:cs="Times New Roman"/>
          <w:sz w:val="24"/>
          <w:szCs w:val="24"/>
        </w:rPr>
        <w:t>differ from other</w:t>
      </w:r>
      <w:r w:rsidR="0076054F" w:rsidRPr="0042152F">
        <w:rPr>
          <w:rFonts w:ascii="Times New Roman" w:hAnsi="Times New Roman" w:cs="Times New Roman"/>
          <w:sz w:val="24"/>
          <w:szCs w:val="24"/>
        </w:rPr>
        <w:t xml:space="preserve"> </w:t>
      </w:r>
      <w:r w:rsidRPr="0042152F">
        <w:rPr>
          <w:rFonts w:ascii="Times New Roman" w:hAnsi="Times New Roman" w:cs="Times New Roman"/>
          <w:sz w:val="24"/>
          <w:szCs w:val="24"/>
        </w:rPr>
        <w:t>individuals.</w:t>
      </w:r>
      <w:r w:rsidR="009F32E6" w:rsidRPr="0042152F">
        <w:rPr>
          <w:rStyle w:val="FootnoteReference"/>
          <w:rFonts w:ascii="Times New Roman" w:hAnsi="Times New Roman" w:cs="Times New Roman"/>
          <w:sz w:val="24"/>
          <w:szCs w:val="24"/>
        </w:rPr>
        <w:footnoteReference w:id="121"/>
      </w:r>
      <w:r w:rsidRPr="0042152F">
        <w:rPr>
          <w:rFonts w:ascii="Times New Roman" w:hAnsi="Times New Roman" w:cs="Times New Roman"/>
          <w:sz w:val="24"/>
          <w:szCs w:val="24"/>
        </w:rPr>
        <w:t xml:space="preserve"> Most participants in our modern economy take relatively risk-free, salaried jobs. But entrepreneurs instead make the difficult choice to strike out on their own to implement some idea or</w:t>
      </w:r>
      <w:r w:rsidR="000363F5">
        <w:rPr>
          <w:rFonts w:ascii="Times New Roman" w:hAnsi="Times New Roman" w:cs="Times New Roman"/>
          <w:sz w:val="24"/>
          <w:szCs w:val="24"/>
        </w:rPr>
        <w:t xml:space="preserve"> vision. A rational actor will </w:t>
      </w:r>
      <w:r w:rsidRPr="0042152F">
        <w:rPr>
          <w:rFonts w:ascii="Times New Roman" w:hAnsi="Times New Roman" w:cs="Times New Roman"/>
          <w:sz w:val="24"/>
          <w:szCs w:val="24"/>
        </w:rPr>
        <w:t xml:space="preserve">choose to commit time, energy, </w:t>
      </w:r>
      <w:r w:rsidRPr="0042152F">
        <w:rPr>
          <w:rFonts w:ascii="Times New Roman" w:hAnsi="Times New Roman" w:cs="Times New Roman"/>
          <w:sz w:val="24"/>
          <w:szCs w:val="24"/>
        </w:rPr>
        <w:lastRenderedPageBreak/>
        <w:t>and resources to execute their vision—to the exclusion of other pursuits—if they believe it will produce an above-market rate of return on the resources invested.</w:t>
      </w:r>
      <w:r w:rsidRPr="0042152F">
        <w:rPr>
          <w:rFonts w:ascii="Times New Roman" w:hAnsi="Times New Roman" w:cs="Times New Roman"/>
          <w:sz w:val="24"/>
          <w:szCs w:val="24"/>
          <w:vertAlign w:val="superscript"/>
        </w:rPr>
        <w:footnoteReference w:id="122"/>
      </w:r>
      <w:r w:rsidRPr="0042152F">
        <w:rPr>
          <w:rFonts w:ascii="Times New Roman" w:hAnsi="Times New Roman" w:cs="Times New Roman"/>
          <w:sz w:val="24"/>
          <w:szCs w:val="24"/>
        </w:rPr>
        <w:t xml:space="preserve"> </w:t>
      </w:r>
      <w:r w:rsidR="000363F5">
        <w:rPr>
          <w:rFonts w:ascii="Times New Roman" w:hAnsi="Times New Roman" w:cs="Times New Roman"/>
          <w:sz w:val="24"/>
          <w:szCs w:val="24"/>
        </w:rPr>
        <w:t xml:space="preserve">Two of us </w:t>
      </w:r>
      <w:r w:rsidRPr="0042152F">
        <w:rPr>
          <w:rFonts w:ascii="Times New Roman" w:hAnsi="Times New Roman" w:cs="Times New Roman"/>
          <w:sz w:val="24"/>
          <w:szCs w:val="24"/>
        </w:rPr>
        <w:t>have referred</w:t>
      </w:r>
      <w:r w:rsidR="009D5C5E"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to </w:t>
      </w:r>
      <w:r w:rsidR="009D5C5E" w:rsidRPr="0042152F">
        <w:rPr>
          <w:rFonts w:ascii="Times New Roman" w:hAnsi="Times New Roman" w:cs="Times New Roman"/>
          <w:sz w:val="24"/>
          <w:szCs w:val="24"/>
        </w:rPr>
        <w:t>an</w:t>
      </w:r>
      <w:r w:rsidRPr="0042152F">
        <w:rPr>
          <w:rFonts w:ascii="Times New Roman" w:hAnsi="Times New Roman" w:cs="Times New Roman"/>
          <w:sz w:val="24"/>
          <w:szCs w:val="24"/>
        </w:rPr>
        <w:t xml:space="preserve"> entrepreneur’s belief in their unique idea, or their unique ability to execute an idea, as </w:t>
      </w:r>
      <w:r w:rsidRPr="0042152F">
        <w:rPr>
          <w:rFonts w:ascii="Times New Roman" w:hAnsi="Times New Roman" w:cs="Times New Roman"/>
          <w:i/>
          <w:iCs/>
          <w:sz w:val="24"/>
          <w:szCs w:val="24"/>
        </w:rPr>
        <w:t>idiosyncratic vision</w:t>
      </w:r>
      <w:r w:rsidRPr="0042152F">
        <w:rPr>
          <w:rFonts w:ascii="Times New Roman" w:hAnsi="Times New Roman" w:cs="Times New Roman"/>
          <w:sz w:val="24"/>
          <w:szCs w:val="24"/>
        </w:rPr>
        <w:t>.</w:t>
      </w:r>
      <w:r w:rsidRPr="0042152F">
        <w:rPr>
          <w:rFonts w:ascii="Times New Roman" w:hAnsi="Times New Roman" w:cs="Times New Roman"/>
          <w:sz w:val="24"/>
          <w:szCs w:val="24"/>
          <w:vertAlign w:val="superscript"/>
        </w:rPr>
        <w:footnoteReference w:id="123"/>
      </w:r>
      <w:r w:rsidRPr="0042152F">
        <w:rPr>
          <w:rFonts w:ascii="Times New Roman" w:hAnsi="Times New Roman" w:cs="Times New Roman"/>
          <w:sz w:val="24"/>
          <w:szCs w:val="24"/>
        </w:rPr>
        <w:t xml:space="preserve"> </w:t>
      </w:r>
    </w:p>
    <w:p w14:paraId="4EF9BD95" w14:textId="77777777" w:rsidR="002727E9" w:rsidRDefault="00F64FD9" w:rsidP="00B54C7C">
      <w:pPr>
        <w:tabs>
          <w:tab w:val="left" w:pos="720"/>
        </w:tabs>
        <w:spacing w:after="0" w:line="360" w:lineRule="auto"/>
        <w:jc w:val="both"/>
        <w:rPr>
          <w:rFonts w:ascii="Times New Roman" w:hAnsi="Times New Roman" w:cs="Times New Roman"/>
          <w:sz w:val="24"/>
          <w:szCs w:val="24"/>
        </w:rPr>
      </w:pPr>
      <w:r w:rsidRPr="0042152F">
        <w:rPr>
          <w:rFonts w:ascii="Times New Roman" w:hAnsi="Times New Roman" w:cs="Times New Roman"/>
          <w:sz w:val="24"/>
          <w:szCs w:val="24"/>
        </w:rPr>
        <w:tab/>
        <w:t>While idiosyncratic vision is often an invention or new innovation,</w:t>
      </w:r>
      <w:r w:rsidRPr="0042152F">
        <w:rPr>
          <w:rFonts w:ascii="Times New Roman" w:hAnsi="Times New Roman" w:cs="Times New Roman"/>
          <w:sz w:val="24"/>
          <w:szCs w:val="24"/>
          <w:vertAlign w:val="superscript"/>
        </w:rPr>
        <w:footnoteReference w:id="124"/>
      </w:r>
      <w:r w:rsidRPr="0042152F">
        <w:rPr>
          <w:rFonts w:ascii="Times New Roman" w:hAnsi="Times New Roman" w:cs="Times New Roman"/>
          <w:sz w:val="24"/>
          <w:szCs w:val="24"/>
        </w:rPr>
        <w:t xml:space="preserve"> it need not be. The idea can be </w:t>
      </w:r>
      <w:r w:rsidR="00BE7868" w:rsidRPr="0042152F">
        <w:rPr>
          <w:rFonts w:ascii="Times New Roman" w:hAnsi="Times New Roman" w:cs="Times New Roman"/>
          <w:sz w:val="24"/>
          <w:szCs w:val="24"/>
          <w:lang w:bidi="he-IL"/>
        </w:rPr>
        <w:t xml:space="preserve">identifying a new market </w:t>
      </w:r>
      <w:r w:rsidR="00BE7868" w:rsidRPr="0042152F">
        <w:rPr>
          <w:rFonts w:ascii="Times New Roman" w:hAnsi="Times New Roman" w:cs="Times New Roman"/>
          <w:sz w:val="24"/>
          <w:szCs w:val="24"/>
        </w:rPr>
        <w:t>or an emerging market niche,</w:t>
      </w:r>
      <w:r w:rsidR="00BE7868" w:rsidRPr="0042152F">
        <w:rPr>
          <w:rFonts w:ascii="Times New Roman" w:hAnsi="Times New Roman" w:cs="Times New Roman"/>
          <w:sz w:val="24"/>
          <w:szCs w:val="24"/>
          <w:vertAlign w:val="superscript"/>
        </w:rPr>
        <w:footnoteReference w:id="125"/>
      </w:r>
      <w:r w:rsidR="00C17134" w:rsidRPr="0042152F">
        <w:rPr>
          <w:rFonts w:ascii="Times New Roman" w:hAnsi="Times New Roman" w:cs="Times New Roman"/>
          <w:sz w:val="24"/>
          <w:szCs w:val="24"/>
        </w:rPr>
        <w:t xml:space="preserve"> developing a</w:t>
      </w:r>
      <w:r w:rsidR="00BE7868" w:rsidRPr="0042152F">
        <w:rPr>
          <w:rFonts w:ascii="Times New Roman" w:hAnsi="Times New Roman" w:cs="Times New Roman"/>
          <w:sz w:val="24"/>
          <w:szCs w:val="24"/>
          <w:lang w:bidi="he-IL"/>
        </w:rPr>
        <w:t xml:space="preserve"> </w:t>
      </w:r>
      <w:r w:rsidRPr="0042152F">
        <w:rPr>
          <w:rFonts w:ascii="Times New Roman" w:hAnsi="Times New Roman" w:cs="Times New Roman"/>
          <w:sz w:val="24"/>
          <w:szCs w:val="24"/>
        </w:rPr>
        <w:t>new method of marketing a product</w:t>
      </w:r>
      <w:r w:rsidR="00A64111" w:rsidRPr="0042152F">
        <w:rPr>
          <w:rFonts w:ascii="Times New Roman" w:hAnsi="Times New Roman" w:cs="Times New Roman"/>
          <w:sz w:val="24"/>
          <w:szCs w:val="24"/>
        </w:rPr>
        <w:t>,</w:t>
      </w:r>
      <w:r w:rsidRPr="0042152F">
        <w:rPr>
          <w:rFonts w:ascii="Times New Roman" w:hAnsi="Times New Roman" w:cs="Times New Roman"/>
          <w:sz w:val="24"/>
          <w:szCs w:val="24"/>
          <w:vertAlign w:val="superscript"/>
        </w:rPr>
        <w:footnoteReference w:id="126"/>
      </w:r>
      <w:r w:rsidRPr="0042152F">
        <w:rPr>
          <w:rFonts w:ascii="Times New Roman" w:hAnsi="Times New Roman" w:cs="Times New Roman"/>
          <w:sz w:val="24"/>
          <w:szCs w:val="24"/>
        </w:rPr>
        <w:t xml:space="preserve"> or creating a more efficient production</w:t>
      </w:r>
      <w:r w:rsidRPr="0042152F">
        <w:rPr>
          <w:rFonts w:ascii="Times New Roman" w:hAnsi="Times New Roman" w:cs="Times New Roman"/>
          <w:sz w:val="24"/>
          <w:szCs w:val="24"/>
          <w:vertAlign w:val="superscript"/>
        </w:rPr>
        <w:footnoteReference w:id="127"/>
      </w:r>
      <w:r w:rsidRPr="0042152F">
        <w:rPr>
          <w:rFonts w:ascii="Times New Roman" w:hAnsi="Times New Roman" w:cs="Times New Roman"/>
          <w:sz w:val="24"/>
          <w:szCs w:val="24"/>
        </w:rPr>
        <w:t xml:space="preserve"> or delivery system.</w:t>
      </w:r>
      <w:r w:rsidRPr="0042152F">
        <w:rPr>
          <w:rFonts w:ascii="Times New Roman" w:hAnsi="Times New Roman" w:cs="Times New Roman"/>
          <w:sz w:val="24"/>
          <w:szCs w:val="24"/>
          <w:vertAlign w:val="superscript"/>
        </w:rPr>
        <w:footnoteReference w:id="128"/>
      </w:r>
      <w:r w:rsidRPr="0042152F">
        <w:rPr>
          <w:rFonts w:ascii="Times New Roman" w:hAnsi="Times New Roman" w:cs="Times New Roman"/>
          <w:sz w:val="24"/>
          <w:szCs w:val="24"/>
        </w:rPr>
        <w:t xml:space="preserve"> As long as the entrepreneur subjectively believes the idea will result in above-market returns, it is </w:t>
      </w:r>
      <w:r w:rsidR="004F0860">
        <w:rPr>
          <w:rFonts w:ascii="Times New Roman" w:hAnsi="Times New Roman" w:cs="Times New Roman"/>
          <w:sz w:val="24"/>
          <w:szCs w:val="24"/>
        </w:rPr>
        <w:t xml:space="preserve">an </w:t>
      </w:r>
      <w:r w:rsidRPr="0042152F">
        <w:rPr>
          <w:rFonts w:ascii="Times New Roman" w:hAnsi="Times New Roman" w:cs="Times New Roman"/>
          <w:sz w:val="24"/>
          <w:szCs w:val="24"/>
        </w:rPr>
        <w:t>idiosyncratic vision.</w:t>
      </w:r>
      <w:r w:rsidR="0011385A" w:rsidRPr="0042152F">
        <w:rPr>
          <w:rFonts w:ascii="Times New Roman" w:hAnsi="Times New Roman" w:cs="Times New Roman"/>
          <w:sz w:val="24"/>
          <w:szCs w:val="24"/>
        </w:rPr>
        <w:t xml:space="preserve"> </w:t>
      </w:r>
    </w:p>
    <w:p w14:paraId="15104EF3" w14:textId="543C03F8" w:rsidR="00AD17BF" w:rsidRPr="0042152F" w:rsidRDefault="002727E9" w:rsidP="00B54C7C">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64FD9" w:rsidRPr="0042152F">
        <w:rPr>
          <w:rFonts w:ascii="Times New Roman" w:hAnsi="Times New Roman" w:cs="Times New Roman"/>
          <w:sz w:val="24"/>
          <w:szCs w:val="24"/>
        </w:rPr>
        <w:t xml:space="preserve">Importantly for this Article, an entrepreneur’s idiosyncratic vision represents part of the entrepreneur’s business idea that </w:t>
      </w:r>
      <w:r w:rsidR="00386533" w:rsidRPr="0042152F">
        <w:rPr>
          <w:rFonts w:ascii="Times New Roman" w:hAnsi="Times New Roman" w:cs="Times New Roman"/>
          <w:sz w:val="24"/>
          <w:szCs w:val="24"/>
        </w:rPr>
        <w:t xml:space="preserve">even expert </w:t>
      </w:r>
      <w:r w:rsidR="00F64FD9" w:rsidRPr="0042152F">
        <w:rPr>
          <w:rFonts w:ascii="Times New Roman" w:hAnsi="Times New Roman" w:cs="Times New Roman"/>
          <w:sz w:val="24"/>
          <w:szCs w:val="24"/>
        </w:rPr>
        <w:t>outsiders may be unable to observe or verify.  An essential feature of idiosyncratic vision is that its viability is not testable at the outset, and thus</w:t>
      </w:r>
      <w:r w:rsidR="0011385A" w:rsidRPr="0042152F">
        <w:rPr>
          <w:rFonts w:ascii="Times New Roman" w:hAnsi="Times New Roman" w:cs="Times New Roman"/>
          <w:sz w:val="24"/>
          <w:szCs w:val="24"/>
        </w:rPr>
        <w:t>,</w:t>
      </w:r>
      <w:r w:rsidR="00F64FD9" w:rsidRPr="0042152F">
        <w:rPr>
          <w:rFonts w:ascii="Times New Roman" w:hAnsi="Times New Roman" w:cs="Times New Roman"/>
          <w:sz w:val="24"/>
          <w:szCs w:val="24"/>
        </w:rPr>
        <w:t xml:space="preserve"> the idea</w:t>
      </w:r>
      <w:r w:rsidR="0011385A" w:rsidRPr="0042152F">
        <w:rPr>
          <w:rFonts w:ascii="Times New Roman" w:hAnsi="Times New Roman" w:cs="Times New Roman"/>
          <w:sz w:val="24"/>
          <w:szCs w:val="24"/>
        </w:rPr>
        <w:t>’</w:t>
      </w:r>
      <w:r w:rsidR="00F64FD9" w:rsidRPr="0042152F">
        <w:rPr>
          <w:rFonts w:ascii="Times New Roman" w:hAnsi="Times New Roman" w:cs="Times New Roman"/>
          <w:sz w:val="24"/>
          <w:szCs w:val="24"/>
        </w:rPr>
        <w:t xml:space="preserve">s </w:t>
      </w:r>
      <w:r w:rsidR="0011385A" w:rsidRPr="0042152F">
        <w:rPr>
          <w:rFonts w:ascii="Times New Roman" w:hAnsi="Times New Roman" w:cs="Times New Roman"/>
          <w:sz w:val="24"/>
          <w:szCs w:val="24"/>
        </w:rPr>
        <w:t>probability of success</w:t>
      </w:r>
      <w:r w:rsidR="00F64FD9" w:rsidRPr="0042152F">
        <w:rPr>
          <w:rFonts w:ascii="Times New Roman" w:hAnsi="Times New Roman" w:cs="Times New Roman"/>
          <w:sz w:val="24"/>
          <w:szCs w:val="24"/>
        </w:rPr>
        <w:t xml:space="preserve"> cannot be known </w:t>
      </w:r>
      <w:r w:rsidR="00823D25" w:rsidRPr="0042152F">
        <w:rPr>
          <w:rFonts w:ascii="Times New Roman" w:hAnsi="Times New Roman" w:cs="Times New Roman"/>
          <w:sz w:val="24"/>
          <w:szCs w:val="24"/>
        </w:rPr>
        <w:t xml:space="preserve">with certainty </w:t>
      </w:r>
      <w:r w:rsidR="00F64FD9" w:rsidRPr="0042152F">
        <w:rPr>
          <w:rFonts w:ascii="Times New Roman" w:hAnsi="Times New Roman" w:cs="Times New Roman"/>
          <w:sz w:val="24"/>
          <w:szCs w:val="24"/>
        </w:rPr>
        <w:t>except in hindsight.</w:t>
      </w:r>
      <w:r w:rsidR="00607F78">
        <w:rPr>
          <w:rFonts w:ascii="Times New Roman" w:hAnsi="Times New Roman" w:cs="Times New Roman"/>
          <w:sz w:val="24"/>
          <w:szCs w:val="24"/>
        </w:rPr>
        <w:t xml:space="preserve"> Indeed, a</w:t>
      </w:r>
      <w:r w:rsidR="00607F78" w:rsidRPr="00607F78">
        <w:rPr>
          <w:rFonts w:ascii="Times New Roman" w:hAnsi="Times New Roman" w:cs="Times New Roman"/>
          <w:sz w:val="24"/>
          <w:szCs w:val="24"/>
        </w:rPr>
        <w:t xml:space="preserve">lthough most entrepreneurs genuinely believe </w:t>
      </w:r>
      <w:r w:rsidR="00F16FF6">
        <w:rPr>
          <w:rFonts w:ascii="Times New Roman" w:hAnsi="Times New Roman" w:cs="Times New Roman"/>
          <w:sz w:val="24"/>
          <w:szCs w:val="24"/>
        </w:rPr>
        <w:t xml:space="preserve">that </w:t>
      </w:r>
      <w:r w:rsidR="00F16FF6" w:rsidRPr="00607F78">
        <w:rPr>
          <w:rFonts w:ascii="Times New Roman" w:hAnsi="Times New Roman" w:cs="Times New Roman"/>
          <w:sz w:val="24"/>
          <w:szCs w:val="24"/>
        </w:rPr>
        <w:t>the</w:t>
      </w:r>
      <w:r w:rsidR="00F16FF6">
        <w:rPr>
          <w:rFonts w:ascii="Times New Roman" w:hAnsi="Times New Roman" w:cs="Times New Roman"/>
          <w:sz w:val="24"/>
          <w:szCs w:val="24"/>
        </w:rPr>
        <w:t>ir</w:t>
      </w:r>
      <w:r w:rsidR="00F16FF6" w:rsidRPr="00607F78">
        <w:rPr>
          <w:rFonts w:ascii="Times New Roman" w:hAnsi="Times New Roman" w:cs="Times New Roman"/>
          <w:sz w:val="24"/>
          <w:szCs w:val="24"/>
        </w:rPr>
        <w:t xml:space="preserve"> </w:t>
      </w:r>
      <w:r w:rsidR="00607F78" w:rsidRPr="00607F78">
        <w:rPr>
          <w:rFonts w:ascii="Times New Roman" w:hAnsi="Times New Roman" w:cs="Times New Roman"/>
          <w:sz w:val="24"/>
          <w:szCs w:val="24"/>
        </w:rPr>
        <w:t>idiosyncratic vision</w:t>
      </w:r>
      <w:r w:rsidR="00F16FF6">
        <w:rPr>
          <w:rFonts w:ascii="Times New Roman" w:hAnsi="Times New Roman" w:cs="Times New Roman"/>
          <w:sz w:val="24"/>
          <w:szCs w:val="24"/>
        </w:rPr>
        <w:t xml:space="preserve"> </w:t>
      </w:r>
      <w:r w:rsidR="00E47B0D">
        <w:rPr>
          <w:rFonts w:ascii="Times New Roman" w:hAnsi="Times New Roman" w:cs="Times New Roman"/>
          <w:sz w:val="24"/>
          <w:szCs w:val="24"/>
        </w:rPr>
        <w:t>will</w:t>
      </w:r>
      <w:r w:rsidR="00F16FF6">
        <w:rPr>
          <w:rFonts w:ascii="Times New Roman" w:hAnsi="Times New Roman" w:cs="Times New Roman"/>
          <w:sz w:val="24"/>
          <w:szCs w:val="24"/>
        </w:rPr>
        <w:t xml:space="preserve"> produce </w:t>
      </w:r>
      <w:r w:rsidR="00E47B0D">
        <w:rPr>
          <w:rFonts w:ascii="Times New Roman" w:hAnsi="Times New Roman" w:cs="Times New Roman"/>
          <w:sz w:val="24"/>
          <w:szCs w:val="24"/>
        </w:rPr>
        <w:t>above-market returns</w:t>
      </w:r>
      <w:r w:rsidR="00607F78" w:rsidRPr="00607F78">
        <w:rPr>
          <w:rFonts w:ascii="Times New Roman" w:hAnsi="Times New Roman" w:cs="Times New Roman"/>
          <w:sz w:val="24"/>
          <w:szCs w:val="24"/>
        </w:rPr>
        <w:t xml:space="preserve">, experience reveals that only a few actually </w:t>
      </w:r>
      <w:r w:rsidR="002812A8">
        <w:rPr>
          <w:rFonts w:ascii="Times New Roman" w:hAnsi="Times New Roman" w:cs="Times New Roman"/>
          <w:sz w:val="24"/>
          <w:szCs w:val="24"/>
        </w:rPr>
        <w:t xml:space="preserve">have </w:t>
      </w:r>
      <w:r w:rsidR="00055D20">
        <w:rPr>
          <w:rFonts w:ascii="Times New Roman" w:hAnsi="Times New Roman" w:cs="Times New Roman"/>
          <w:sz w:val="24"/>
          <w:szCs w:val="24"/>
        </w:rPr>
        <w:t>such vision</w:t>
      </w:r>
      <w:r w:rsidR="00607F78" w:rsidRPr="00607F78">
        <w:rPr>
          <w:rFonts w:ascii="Times New Roman" w:hAnsi="Times New Roman" w:cs="Times New Roman"/>
          <w:sz w:val="24"/>
          <w:szCs w:val="24"/>
        </w:rPr>
        <w:t>.</w:t>
      </w:r>
      <w:r w:rsidR="00607F78">
        <w:rPr>
          <w:rFonts w:ascii="Times New Roman" w:hAnsi="Times New Roman" w:cs="Times New Roman"/>
          <w:sz w:val="24"/>
          <w:szCs w:val="24"/>
        </w:rPr>
        <w:t xml:space="preserve"> </w:t>
      </w:r>
    </w:p>
    <w:p w14:paraId="1689190A" w14:textId="582F7E82" w:rsidR="00F64FD9" w:rsidRPr="0042152F" w:rsidRDefault="00AD17BF" w:rsidP="00B54C7C">
      <w:pPr>
        <w:tabs>
          <w:tab w:val="left" w:pos="720"/>
        </w:tabs>
        <w:spacing w:after="0" w:line="360" w:lineRule="auto"/>
        <w:jc w:val="both"/>
        <w:rPr>
          <w:rFonts w:ascii="Times New Roman" w:hAnsi="Times New Roman" w:cs="Times New Roman"/>
          <w:sz w:val="24"/>
          <w:szCs w:val="24"/>
        </w:rPr>
      </w:pPr>
      <w:r w:rsidRPr="0042152F">
        <w:rPr>
          <w:rFonts w:ascii="Times New Roman" w:hAnsi="Times New Roman" w:cs="Times New Roman"/>
          <w:sz w:val="24"/>
          <w:szCs w:val="24"/>
        </w:rPr>
        <w:tab/>
      </w:r>
      <w:r w:rsidR="00F64FD9" w:rsidRPr="0042152F">
        <w:rPr>
          <w:rFonts w:ascii="Times New Roman" w:hAnsi="Times New Roman" w:cs="Times New Roman"/>
          <w:sz w:val="24"/>
          <w:szCs w:val="24"/>
        </w:rPr>
        <w:t xml:space="preserve">Predictably, this </w:t>
      </w:r>
      <w:r w:rsidRPr="0042152F">
        <w:rPr>
          <w:rFonts w:ascii="Times New Roman" w:hAnsi="Times New Roman" w:cs="Times New Roman"/>
          <w:sz w:val="24"/>
          <w:szCs w:val="24"/>
        </w:rPr>
        <w:t xml:space="preserve">feature </w:t>
      </w:r>
      <w:r w:rsidR="00F64FD9" w:rsidRPr="0042152F">
        <w:rPr>
          <w:rFonts w:ascii="Times New Roman" w:hAnsi="Times New Roman" w:cs="Times New Roman"/>
          <w:sz w:val="24"/>
          <w:szCs w:val="24"/>
        </w:rPr>
        <w:t xml:space="preserve">can result in differences of opinion between investors and the founder-entrepreneur. To </w:t>
      </w:r>
      <w:r w:rsidR="00BE3808" w:rsidRPr="0042152F">
        <w:rPr>
          <w:rFonts w:ascii="Times New Roman" w:hAnsi="Times New Roman" w:cs="Times New Roman"/>
          <w:sz w:val="24"/>
          <w:szCs w:val="24"/>
        </w:rPr>
        <w:t xml:space="preserve">raise funding for </w:t>
      </w:r>
      <w:r w:rsidRPr="0042152F">
        <w:rPr>
          <w:rFonts w:ascii="Times New Roman" w:hAnsi="Times New Roman" w:cs="Times New Roman"/>
          <w:sz w:val="24"/>
          <w:szCs w:val="24"/>
        </w:rPr>
        <w:t xml:space="preserve">the implementation of </w:t>
      </w:r>
      <w:r w:rsidR="0011385A" w:rsidRPr="0042152F">
        <w:rPr>
          <w:rFonts w:ascii="Times New Roman" w:hAnsi="Times New Roman" w:cs="Times New Roman"/>
          <w:sz w:val="24"/>
          <w:szCs w:val="24"/>
        </w:rPr>
        <w:t>their</w:t>
      </w:r>
      <w:r w:rsidR="00F64FD9" w:rsidRPr="0042152F">
        <w:rPr>
          <w:rFonts w:ascii="Times New Roman" w:hAnsi="Times New Roman" w:cs="Times New Roman"/>
          <w:sz w:val="24"/>
          <w:szCs w:val="24"/>
        </w:rPr>
        <w:t xml:space="preserve"> idea, the entrepreneur must persuade investors that </w:t>
      </w:r>
      <w:r w:rsidRPr="0042152F">
        <w:rPr>
          <w:rFonts w:ascii="Times New Roman" w:hAnsi="Times New Roman" w:cs="Times New Roman"/>
          <w:sz w:val="24"/>
          <w:szCs w:val="24"/>
        </w:rPr>
        <w:t xml:space="preserve">their </w:t>
      </w:r>
      <w:r w:rsidR="00F64FD9" w:rsidRPr="0042152F">
        <w:rPr>
          <w:rFonts w:ascii="Times New Roman" w:hAnsi="Times New Roman" w:cs="Times New Roman"/>
          <w:sz w:val="24"/>
          <w:szCs w:val="24"/>
        </w:rPr>
        <w:t>business plan will produce superior returns</w:t>
      </w:r>
      <w:r w:rsidR="0011385A" w:rsidRPr="0042152F">
        <w:rPr>
          <w:rFonts w:ascii="Times New Roman" w:hAnsi="Times New Roman" w:cs="Times New Roman"/>
          <w:sz w:val="24"/>
          <w:szCs w:val="24"/>
        </w:rPr>
        <w:t xml:space="preserve"> </w:t>
      </w:r>
      <w:r w:rsidR="00F64FD9" w:rsidRPr="0042152F">
        <w:rPr>
          <w:rFonts w:ascii="Times New Roman" w:hAnsi="Times New Roman" w:cs="Times New Roman"/>
          <w:sz w:val="24"/>
          <w:szCs w:val="24"/>
        </w:rPr>
        <w:t xml:space="preserve">without clear evidentiary support. Another important feature of idiosyncratic vision is that it is the part of the business plan which, if successfully implemented, will drive the business’s above-market returns. Put another </w:t>
      </w:r>
      <w:r w:rsidR="00F64FD9" w:rsidRPr="0042152F">
        <w:rPr>
          <w:rFonts w:ascii="Times New Roman" w:hAnsi="Times New Roman" w:cs="Times New Roman"/>
          <w:sz w:val="24"/>
          <w:szCs w:val="24"/>
        </w:rPr>
        <w:lastRenderedPageBreak/>
        <w:t xml:space="preserve">way, </w:t>
      </w:r>
      <w:r w:rsidRPr="0042152F">
        <w:rPr>
          <w:rFonts w:ascii="Times New Roman" w:hAnsi="Times New Roman" w:cs="Times New Roman"/>
          <w:sz w:val="24"/>
          <w:szCs w:val="24"/>
        </w:rPr>
        <w:t xml:space="preserve">idiosyncratic vision </w:t>
      </w:r>
      <w:r w:rsidR="00F64FD9" w:rsidRPr="0042152F">
        <w:rPr>
          <w:rFonts w:ascii="Times New Roman" w:hAnsi="Times New Roman" w:cs="Times New Roman"/>
          <w:sz w:val="24"/>
          <w:szCs w:val="24"/>
        </w:rPr>
        <w:t>is the feature of the business that set</w:t>
      </w:r>
      <w:r w:rsidRPr="0042152F">
        <w:rPr>
          <w:rFonts w:ascii="Times New Roman" w:hAnsi="Times New Roman" w:cs="Times New Roman"/>
          <w:sz w:val="24"/>
          <w:szCs w:val="24"/>
        </w:rPr>
        <w:t>s</w:t>
      </w:r>
      <w:r w:rsidR="00F64FD9" w:rsidRPr="0042152F">
        <w:rPr>
          <w:rFonts w:ascii="Times New Roman" w:hAnsi="Times New Roman" w:cs="Times New Roman"/>
          <w:sz w:val="24"/>
          <w:szCs w:val="24"/>
        </w:rPr>
        <w:t xml:space="preserve"> it apart</w:t>
      </w:r>
      <w:r w:rsidR="00D83E62" w:rsidRPr="0042152F">
        <w:rPr>
          <w:rFonts w:ascii="Times New Roman" w:hAnsi="Times New Roman" w:cs="Times New Roman"/>
          <w:sz w:val="24"/>
          <w:szCs w:val="24"/>
        </w:rPr>
        <w:t xml:space="preserve"> from all other ordinary businesses</w:t>
      </w:r>
      <w:r w:rsidR="00F64FD9" w:rsidRPr="0042152F">
        <w:rPr>
          <w:rFonts w:ascii="Times New Roman" w:hAnsi="Times New Roman" w:cs="Times New Roman"/>
          <w:sz w:val="24"/>
          <w:szCs w:val="24"/>
        </w:rPr>
        <w:t xml:space="preserve">—the reason to invest in the first place. </w:t>
      </w:r>
    </w:p>
    <w:p w14:paraId="24925B98" w14:textId="4888A249" w:rsidR="00F64FD9" w:rsidRPr="0042152F" w:rsidRDefault="00F64FD9" w:rsidP="00B54C7C">
      <w:pPr>
        <w:tabs>
          <w:tab w:val="left" w:pos="720"/>
        </w:tabs>
        <w:spacing w:after="0" w:line="360" w:lineRule="auto"/>
        <w:jc w:val="both"/>
        <w:rPr>
          <w:rFonts w:ascii="Times New Roman" w:hAnsi="Times New Roman" w:cs="Times New Roman"/>
          <w:sz w:val="24"/>
          <w:szCs w:val="24"/>
        </w:rPr>
      </w:pPr>
      <w:r w:rsidRPr="0042152F">
        <w:rPr>
          <w:rFonts w:ascii="Times New Roman" w:hAnsi="Times New Roman" w:cs="Times New Roman"/>
          <w:sz w:val="24"/>
          <w:szCs w:val="24"/>
        </w:rPr>
        <w:tab/>
        <w:t xml:space="preserve">The founding of Vanguard, an investment management company with </w:t>
      </w:r>
      <w:r w:rsidR="00926E9D">
        <w:rPr>
          <w:rFonts w:ascii="Times New Roman" w:hAnsi="Times New Roman" w:cs="Times New Roman"/>
          <w:sz w:val="24"/>
          <w:szCs w:val="24"/>
        </w:rPr>
        <w:t xml:space="preserve">over </w:t>
      </w:r>
      <w:r w:rsidRPr="0042152F">
        <w:rPr>
          <w:rFonts w:ascii="Times New Roman" w:hAnsi="Times New Roman" w:cs="Times New Roman"/>
          <w:sz w:val="24"/>
          <w:szCs w:val="24"/>
        </w:rPr>
        <w:t>$7 trillion in assets under management, provides an example of idiosyncratic vision in action. Vanguard’s founder, John C. Bogle, formed an idea while an undergraduate at Princeton that he memorialized as his senior thesis.</w:t>
      </w:r>
      <w:r w:rsidRPr="0042152F">
        <w:rPr>
          <w:rFonts w:ascii="Times New Roman" w:hAnsi="Times New Roman" w:cs="Times New Roman"/>
          <w:sz w:val="24"/>
          <w:szCs w:val="24"/>
          <w:vertAlign w:val="superscript"/>
        </w:rPr>
        <w:footnoteReference w:id="129"/>
      </w:r>
      <w:r w:rsidRPr="0042152F">
        <w:rPr>
          <w:rFonts w:ascii="Times New Roman" w:hAnsi="Times New Roman" w:cs="Times New Roman"/>
          <w:sz w:val="24"/>
          <w:szCs w:val="24"/>
        </w:rPr>
        <w:t xml:space="preserve"> Titled “The Economic Role of the Investment Company,” Bogle argued that investment companies should work to minimize all fees charged to investors.</w:t>
      </w:r>
      <w:r w:rsidR="000C62E6" w:rsidRPr="0042152F">
        <w:rPr>
          <w:rStyle w:val="FootnoteReference"/>
          <w:rFonts w:ascii="Times New Roman" w:hAnsi="Times New Roman" w:cs="Times New Roman"/>
          <w:sz w:val="24"/>
          <w:szCs w:val="24"/>
        </w:rPr>
        <w:footnoteReference w:id="130"/>
      </w:r>
      <w:r w:rsidRPr="0042152F">
        <w:rPr>
          <w:rFonts w:ascii="Times New Roman" w:hAnsi="Times New Roman" w:cs="Times New Roman"/>
          <w:sz w:val="24"/>
          <w:szCs w:val="24"/>
        </w:rPr>
        <w:t xml:space="preserve"> This idea was </w:t>
      </w:r>
      <w:r w:rsidR="00D31613">
        <w:rPr>
          <w:rFonts w:ascii="Times New Roman" w:hAnsi="Times New Roman" w:cs="Times New Roman"/>
          <w:sz w:val="24"/>
          <w:szCs w:val="24"/>
        </w:rPr>
        <w:t>in direct contrast</w:t>
      </w:r>
      <w:r w:rsidRPr="0042152F">
        <w:rPr>
          <w:rFonts w:ascii="Times New Roman" w:hAnsi="Times New Roman" w:cs="Times New Roman"/>
          <w:sz w:val="24"/>
          <w:szCs w:val="24"/>
        </w:rPr>
        <w:t xml:space="preserve"> to prevailing norms at the time. </w:t>
      </w:r>
      <w:r w:rsidR="00D83E62" w:rsidRPr="0042152F">
        <w:rPr>
          <w:rFonts w:ascii="Times New Roman" w:hAnsi="Times New Roman" w:cs="Times New Roman"/>
          <w:sz w:val="24"/>
          <w:szCs w:val="24"/>
        </w:rPr>
        <w:t>Active m</w:t>
      </w:r>
      <w:r w:rsidRPr="0042152F">
        <w:rPr>
          <w:rFonts w:ascii="Times New Roman" w:hAnsi="Times New Roman" w:cs="Times New Roman"/>
          <w:sz w:val="24"/>
          <w:szCs w:val="24"/>
        </w:rPr>
        <w:t>utual funds ruled the investing industry and imposed high up-front and annual fees to manage investor’s money.</w:t>
      </w:r>
      <w:r w:rsidRPr="0042152F">
        <w:rPr>
          <w:rFonts w:ascii="Times New Roman" w:hAnsi="Times New Roman" w:cs="Times New Roman"/>
          <w:sz w:val="24"/>
          <w:szCs w:val="24"/>
          <w:vertAlign w:val="superscript"/>
        </w:rPr>
        <w:footnoteReference w:id="131"/>
      </w:r>
      <w:r w:rsidRPr="0042152F">
        <w:rPr>
          <w:rFonts w:ascii="Times New Roman" w:hAnsi="Times New Roman" w:cs="Times New Roman"/>
          <w:sz w:val="24"/>
          <w:szCs w:val="24"/>
        </w:rPr>
        <w:t xml:space="preserve"> These funds premised their high costs on their ability to outpace the market and deliver superior returns.</w:t>
      </w:r>
      <w:r w:rsidRPr="0042152F">
        <w:rPr>
          <w:rFonts w:ascii="Times New Roman" w:hAnsi="Times New Roman" w:cs="Times New Roman"/>
          <w:sz w:val="24"/>
          <w:szCs w:val="24"/>
          <w:vertAlign w:val="superscript"/>
        </w:rPr>
        <w:footnoteReference w:id="132"/>
      </w:r>
      <w:r w:rsidRPr="0042152F">
        <w:rPr>
          <w:rFonts w:ascii="Times New Roman" w:hAnsi="Times New Roman" w:cs="Times New Roman"/>
          <w:sz w:val="24"/>
          <w:szCs w:val="24"/>
        </w:rPr>
        <w:t xml:space="preserve"> But Bogle had personally documented the consistent failure of </w:t>
      </w:r>
      <w:r w:rsidR="00D83E62" w:rsidRPr="0042152F">
        <w:rPr>
          <w:rFonts w:ascii="Times New Roman" w:hAnsi="Times New Roman" w:cs="Times New Roman"/>
          <w:sz w:val="24"/>
          <w:szCs w:val="24"/>
        </w:rPr>
        <w:t xml:space="preserve">active </w:t>
      </w:r>
      <w:r w:rsidRPr="0042152F">
        <w:rPr>
          <w:rFonts w:ascii="Times New Roman" w:hAnsi="Times New Roman" w:cs="Times New Roman"/>
          <w:sz w:val="24"/>
          <w:szCs w:val="24"/>
        </w:rPr>
        <w:t xml:space="preserve">mutual funds to </w:t>
      </w:r>
      <w:r w:rsidR="0010240C" w:rsidRPr="0042152F">
        <w:rPr>
          <w:rFonts w:ascii="Times New Roman" w:hAnsi="Times New Roman" w:cs="Times New Roman"/>
          <w:sz w:val="24"/>
          <w:szCs w:val="24"/>
        </w:rPr>
        <w:t>beat</w:t>
      </w:r>
      <w:r w:rsidRPr="0042152F">
        <w:rPr>
          <w:rFonts w:ascii="Times New Roman" w:hAnsi="Times New Roman" w:cs="Times New Roman"/>
          <w:sz w:val="24"/>
          <w:szCs w:val="24"/>
        </w:rPr>
        <w:t xml:space="preserve"> the market over the immediately preceding three decades.</w:t>
      </w:r>
      <w:r w:rsidRPr="0042152F">
        <w:rPr>
          <w:rFonts w:ascii="Times New Roman" w:hAnsi="Times New Roman" w:cs="Times New Roman"/>
          <w:sz w:val="24"/>
          <w:szCs w:val="24"/>
          <w:vertAlign w:val="superscript"/>
        </w:rPr>
        <w:footnoteReference w:id="133"/>
      </w:r>
      <w:r w:rsidRPr="0042152F">
        <w:rPr>
          <w:rFonts w:ascii="Times New Roman" w:hAnsi="Times New Roman" w:cs="Times New Roman"/>
          <w:sz w:val="24"/>
          <w:szCs w:val="24"/>
        </w:rPr>
        <w:t xml:space="preserve"> Given </w:t>
      </w:r>
      <w:r w:rsidR="0010240C" w:rsidRPr="0042152F">
        <w:rPr>
          <w:rFonts w:ascii="Times New Roman" w:hAnsi="Times New Roman" w:cs="Times New Roman"/>
          <w:sz w:val="24"/>
          <w:szCs w:val="24"/>
        </w:rPr>
        <w:t xml:space="preserve">that </w:t>
      </w:r>
      <w:r w:rsidRPr="0042152F">
        <w:rPr>
          <w:rFonts w:ascii="Times New Roman" w:hAnsi="Times New Roman" w:cs="Times New Roman"/>
          <w:sz w:val="24"/>
          <w:szCs w:val="24"/>
        </w:rPr>
        <w:t xml:space="preserve">active management of investment funds was seemingly doing little for investors, Bogle determined he would launch </w:t>
      </w:r>
      <w:r w:rsidR="0010240C" w:rsidRPr="0042152F">
        <w:rPr>
          <w:rFonts w:ascii="Times New Roman" w:hAnsi="Times New Roman" w:cs="Times New Roman"/>
          <w:sz w:val="24"/>
          <w:szCs w:val="24"/>
        </w:rPr>
        <w:t xml:space="preserve">the index fund, which </w:t>
      </w:r>
      <w:r w:rsidRPr="0042152F">
        <w:rPr>
          <w:rFonts w:ascii="Times New Roman" w:hAnsi="Times New Roman" w:cs="Times New Roman"/>
          <w:sz w:val="24"/>
          <w:szCs w:val="24"/>
        </w:rPr>
        <w:t>took the manager out of the picture. Such funds eschew active management for simple passive investment</w:t>
      </w:r>
      <w:r w:rsidR="0010240C" w:rsidRPr="0042152F">
        <w:rPr>
          <w:rFonts w:ascii="Times New Roman" w:hAnsi="Times New Roman" w:cs="Times New Roman"/>
          <w:sz w:val="24"/>
          <w:szCs w:val="24"/>
        </w:rPr>
        <w:t xml:space="preserve"> by</w:t>
      </w:r>
      <w:r w:rsidRPr="0042152F">
        <w:rPr>
          <w:rFonts w:ascii="Times New Roman" w:hAnsi="Times New Roman" w:cs="Times New Roman"/>
          <w:sz w:val="24"/>
          <w:szCs w:val="24"/>
        </w:rPr>
        <w:t xml:space="preserve"> replicating the performance of the market. </w:t>
      </w:r>
      <w:r w:rsidR="0010240C" w:rsidRPr="0042152F">
        <w:rPr>
          <w:rFonts w:ascii="Times New Roman" w:hAnsi="Times New Roman" w:cs="Times New Roman"/>
          <w:sz w:val="24"/>
          <w:szCs w:val="24"/>
        </w:rPr>
        <w:t>As a result,</w:t>
      </w:r>
      <w:r w:rsidRPr="0042152F">
        <w:rPr>
          <w:rFonts w:ascii="Times New Roman" w:hAnsi="Times New Roman" w:cs="Times New Roman"/>
          <w:sz w:val="24"/>
          <w:szCs w:val="24"/>
        </w:rPr>
        <w:t xml:space="preserve"> </w:t>
      </w:r>
      <w:r w:rsidR="00B27A53">
        <w:rPr>
          <w:rFonts w:ascii="Times New Roman" w:hAnsi="Times New Roman" w:cs="Times New Roman"/>
          <w:sz w:val="24"/>
          <w:szCs w:val="24"/>
        </w:rPr>
        <w:t xml:space="preserve">index </w:t>
      </w:r>
      <w:r w:rsidRPr="0042152F">
        <w:rPr>
          <w:rFonts w:ascii="Times New Roman" w:hAnsi="Times New Roman" w:cs="Times New Roman"/>
          <w:sz w:val="24"/>
          <w:szCs w:val="24"/>
        </w:rPr>
        <w:t>funds require no investment advisory services and therefore charge only minimal fees.</w:t>
      </w:r>
      <w:r w:rsidRPr="0042152F">
        <w:rPr>
          <w:rFonts w:ascii="Times New Roman" w:hAnsi="Times New Roman" w:cs="Times New Roman"/>
          <w:sz w:val="24"/>
          <w:szCs w:val="24"/>
          <w:vertAlign w:val="superscript"/>
        </w:rPr>
        <w:footnoteReference w:id="134"/>
      </w:r>
      <w:r w:rsidRPr="0042152F">
        <w:rPr>
          <w:rFonts w:ascii="Times New Roman" w:hAnsi="Times New Roman" w:cs="Times New Roman"/>
          <w:sz w:val="24"/>
          <w:szCs w:val="24"/>
        </w:rPr>
        <w:t xml:space="preserve"> </w:t>
      </w:r>
    </w:p>
    <w:p w14:paraId="1DD08A39" w14:textId="628904DF" w:rsidR="00F64FD9" w:rsidRPr="0042152F" w:rsidRDefault="00F64FD9" w:rsidP="00B54C7C">
      <w:pPr>
        <w:tabs>
          <w:tab w:val="left" w:pos="720"/>
        </w:tabs>
        <w:spacing w:after="0" w:line="360" w:lineRule="auto"/>
        <w:jc w:val="both"/>
        <w:rPr>
          <w:rFonts w:ascii="Times New Roman" w:hAnsi="Times New Roman" w:cs="Times New Roman"/>
          <w:sz w:val="24"/>
          <w:szCs w:val="24"/>
        </w:rPr>
      </w:pPr>
      <w:r w:rsidRPr="0042152F">
        <w:rPr>
          <w:rFonts w:ascii="Times New Roman" w:hAnsi="Times New Roman" w:cs="Times New Roman"/>
          <w:sz w:val="24"/>
          <w:szCs w:val="24"/>
        </w:rPr>
        <w:tab/>
        <w:t xml:space="preserve">This </w:t>
      </w:r>
      <w:r w:rsidR="00E67602" w:rsidRPr="0042152F">
        <w:rPr>
          <w:rFonts w:ascii="Times New Roman" w:hAnsi="Times New Roman" w:cs="Times New Roman"/>
          <w:sz w:val="24"/>
          <w:szCs w:val="24"/>
        </w:rPr>
        <w:t xml:space="preserve">now obvious </w:t>
      </w:r>
      <w:r w:rsidRPr="0042152F">
        <w:rPr>
          <w:rFonts w:ascii="Times New Roman" w:hAnsi="Times New Roman" w:cs="Times New Roman"/>
          <w:sz w:val="24"/>
          <w:szCs w:val="24"/>
        </w:rPr>
        <w:t>idea was viewed with extreme skepticism from Vanguard’s board.</w:t>
      </w:r>
      <w:r w:rsidRPr="0042152F">
        <w:rPr>
          <w:rFonts w:ascii="Times New Roman" w:hAnsi="Times New Roman" w:cs="Times New Roman"/>
          <w:sz w:val="24"/>
          <w:szCs w:val="24"/>
          <w:vertAlign w:val="superscript"/>
        </w:rPr>
        <w:footnoteReference w:id="135"/>
      </w:r>
      <w:r w:rsidRPr="0042152F">
        <w:rPr>
          <w:rFonts w:ascii="Times New Roman" w:hAnsi="Times New Roman" w:cs="Times New Roman"/>
          <w:sz w:val="24"/>
          <w:szCs w:val="24"/>
        </w:rPr>
        <w:t xml:space="preserve"> But nevertheless, </w:t>
      </w:r>
      <w:r w:rsidR="0010240C" w:rsidRPr="0042152F">
        <w:rPr>
          <w:rFonts w:ascii="Times New Roman" w:hAnsi="Times New Roman" w:cs="Times New Roman"/>
          <w:sz w:val="24"/>
          <w:szCs w:val="24"/>
        </w:rPr>
        <w:t xml:space="preserve">in 1974, </w:t>
      </w:r>
      <w:r w:rsidRPr="0042152F">
        <w:rPr>
          <w:rFonts w:ascii="Times New Roman" w:hAnsi="Times New Roman" w:cs="Times New Roman"/>
          <w:sz w:val="24"/>
          <w:szCs w:val="24"/>
        </w:rPr>
        <w:t xml:space="preserve">Bogle convinced them to green-light the launch of Vanguard’s </w:t>
      </w:r>
      <w:r w:rsidR="00E67602" w:rsidRPr="0042152F">
        <w:rPr>
          <w:rFonts w:ascii="Times New Roman" w:hAnsi="Times New Roman" w:cs="Times New Roman"/>
          <w:sz w:val="24"/>
          <w:szCs w:val="24"/>
        </w:rPr>
        <w:t xml:space="preserve">S&amp;P 500 </w:t>
      </w:r>
      <w:r w:rsidRPr="0042152F">
        <w:rPr>
          <w:rFonts w:ascii="Times New Roman" w:hAnsi="Times New Roman" w:cs="Times New Roman"/>
          <w:sz w:val="24"/>
          <w:szCs w:val="24"/>
        </w:rPr>
        <w:t>index mutual fund—the first of its kind.</w:t>
      </w:r>
      <w:r w:rsidRPr="0042152F">
        <w:rPr>
          <w:rFonts w:ascii="Times New Roman" w:hAnsi="Times New Roman" w:cs="Times New Roman"/>
          <w:sz w:val="24"/>
          <w:szCs w:val="24"/>
          <w:vertAlign w:val="superscript"/>
        </w:rPr>
        <w:footnoteReference w:id="136"/>
      </w:r>
      <w:r w:rsidRPr="0042152F">
        <w:rPr>
          <w:rFonts w:ascii="Times New Roman" w:hAnsi="Times New Roman" w:cs="Times New Roman"/>
          <w:sz w:val="24"/>
          <w:szCs w:val="24"/>
        </w:rPr>
        <w:t xml:space="preserve"> The fund was initially scorned by industry leaders, and the fund’s </w:t>
      </w:r>
      <w:r w:rsidR="0010240C" w:rsidRPr="0042152F">
        <w:rPr>
          <w:rFonts w:ascii="Times New Roman" w:hAnsi="Times New Roman" w:cs="Times New Roman"/>
          <w:sz w:val="24"/>
          <w:szCs w:val="24"/>
        </w:rPr>
        <w:t>first</w:t>
      </w:r>
      <w:r w:rsidRPr="0042152F">
        <w:rPr>
          <w:rFonts w:ascii="Times New Roman" w:hAnsi="Times New Roman" w:cs="Times New Roman"/>
          <w:sz w:val="24"/>
          <w:szCs w:val="24"/>
        </w:rPr>
        <w:t xml:space="preserve"> public offering in 1976 was a flop</w:t>
      </w:r>
      <w:r w:rsidR="00D31613">
        <w:rPr>
          <w:rFonts w:ascii="Times New Roman" w:hAnsi="Times New Roman" w:cs="Times New Roman"/>
          <w:sz w:val="24"/>
          <w:szCs w:val="24"/>
        </w:rPr>
        <w:t>, raising</w:t>
      </w:r>
      <w:r w:rsidRPr="0042152F">
        <w:rPr>
          <w:rFonts w:ascii="Times New Roman" w:hAnsi="Times New Roman" w:cs="Times New Roman"/>
          <w:sz w:val="24"/>
          <w:szCs w:val="24"/>
        </w:rPr>
        <w:t xml:space="preserve"> a mere $11 million</w:t>
      </w:r>
      <w:r w:rsidR="00D31613">
        <w:rPr>
          <w:rFonts w:ascii="Times New Roman" w:hAnsi="Times New Roman" w:cs="Times New Roman"/>
          <w:sz w:val="24"/>
          <w:szCs w:val="24"/>
        </w:rPr>
        <w:t xml:space="preserve"> (instead of the projected $150 million)</w:t>
      </w:r>
      <w:r w:rsidRPr="0042152F">
        <w:rPr>
          <w:rFonts w:ascii="Times New Roman" w:hAnsi="Times New Roman" w:cs="Times New Roman"/>
          <w:sz w:val="24"/>
          <w:szCs w:val="24"/>
        </w:rPr>
        <w:t>. Edward C. Johnson III, chairman of the leading investment fund Fidelity, told the press he could not believe investors would “be satisfied with just receiving average returns” when “the name of the game is to be the best.”</w:t>
      </w:r>
      <w:r w:rsidRPr="0042152F">
        <w:rPr>
          <w:rFonts w:ascii="Times New Roman" w:hAnsi="Times New Roman" w:cs="Times New Roman"/>
          <w:sz w:val="24"/>
          <w:szCs w:val="24"/>
          <w:vertAlign w:val="superscript"/>
        </w:rPr>
        <w:footnoteReference w:id="137"/>
      </w:r>
      <w:r w:rsidRPr="0042152F">
        <w:rPr>
          <w:rFonts w:ascii="Times New Roman" w:hAnsi="Times New Roman" w:cs="Times New Roman"/>
          <w:sz w:val="24"/>
          <w:szCs w:val="24"/>
        </w:rPr>
        <w:t xml:space="preserve"> One brokerage firm went as far as to </w:t>
      </w:r>
      <w:r w:rsidRPr="0042152F">
        <w:rPr>
          <w:rFonts w:ascii="Times New Roman" w:hAnsi="Times New Roman" w:cs="Times New Roman"/>
          <w:sz w:val="24"/>
          <w:szCs w:val="24"/>
        </w:rPr>
        <w:lastRenderedPageBreak/>
        <w:t>call index funds “un-</w:t>
      </w:r>
      <w:r w:rsidR="0010240C" w:rsidRPr="0042152F">
        <w:rPr>
          <w:rFonts w:ascii="Times New Roman" w:hAnsi="Times New Roman" w:cs="Times New Roman"/>
          <w:sz w:val="24"/>
          <w:szCs w:val="24"/>
        </w:rPr>
        <w:t>A</w:t>
      </w:r>
      <w:r w:rsidRPr="0042152F">
        <w:rPr>
          <w:rFonts w:ascii="Times New Roman" w:hAnsi="Times New Roman" w:cs="Times New Roman"/>
          <w:sz w:val="24"/>
          <w:szCs w:val="24"/>
        </w:rPr>
        <w:t>merican.”</w:t>
      </w:r>
      <w:r w:rsidRPr="0042152F">
        <w:rPr>
          <w:rFonts w:ascii="Times New Roman" w:hAnsi="Times New Roman" w:cs="Times New Roman"/>
          <w:sz w:val="24"/>
          <w:szCs w:val="24"/>
          <w:vertAlign w:val="superscript"/>
        </w:rPr>
        <w:footnoteReference w:id="138"/>
      </w:r>
      <w:r w:rsidRPr="0042152F">
        <w:rPr>
          <w:rFonts w:ascii="Times New Roman" w:hAnsi="Times New Roman" w:cs="Times New Roman"/>
          <w:sz w:val="24"/>
          <w:szCs w:val="24"/>
        </w:rPr>
        <w:t xml:space="preserve"> Forbes ridiculed Bogle in an article titled, “A Plague on Both Houses,” characterizing Bogle as a scourge on both his former employer, Wellington, and his new company, Vanguard.</w:t>
      </w:r>
      <w:r w:rsidR="0010240C" w:rsidRPr="0042152F">
        <w:rPr>
          <w:rStyle w:val="FootnoteReference"/>
          <w:rFonts w:ascii="Times New Roman" w:hAnsi="Times New Roman" w:cs="Times New Roman"/>
          <w:sz w:val="24"/>
          <w:szCs w:val="24"/>
        </w:rPr>
        <w:footnoteReference w:id="139"/>
      </w:r>
      <w:r w:rsidRPr="0042152F">
        <w:rPr>
          <w:rFonts w:ascii="Times New Roman" w:hAnsi="Times New Roman" w:cs="Times New Roman"/>
          <w:sz w:val="24"/>
          <w:szCs w:val="24"/>
        </w:rPr>
        <w:t xml:space="preserve"> </w:t>
      </w:r>
    </w:p>
    <w:p w14:paraId="6453626E" w14:textId="197B12E4" w:rsidR="00F64FD9" w:rsidRPr="0042152F" w:rsidRDefault="00F64FD9" w:rsidP="00B54C7C">
      <w:pPr>
        <w:tabs>
          <w:tab w:val="left" w:pos="720"/>
        </w:tabs>
        <w:spacing w:after="0" w:line="360" w:lineRule="auto"/>
        <w:jc w:val="both"/>
        <w:rPr>
          <w:rFonts w:ascii="Times New Roman" w:hAnsi="Times New Roman" w:cs="Times New Roman"/>
          <w:sz w:val="24"/>
          <w:szCs w:val="24"/>
        </w:rPr>
      </w:pPr>
      <w:r w:rsidRPr="0042152F">
        <w:rPr>
          <w:rFonts w:ascii="Times New Roman" w:hAnsi="Times New Roman" w:cs="Times New Roman"/>
          <w:sz w:val="24"/>
          <w:szCs w:val="24"/>
        </w:rPr>
        <w:tab/>
        <w:t>While the early days were difficult, in the long-run, the idea was a massive success. By charging extremely low fees, Vanguard’s index funds began to overtake rival’s actively managed funds. With more investment dollars coming in, Vanguard was able to cut its prices further, continuing the cycle.</w:t>
      </w:r>
      <w:r w:rsidRPr="0042152F">
        <w:rPr>
          <w:rFonts w:ascii="Times New Roman" w:hAnsi="Times New Roman" w:cs="Times New Roman"/>
          <w:sz w:val="24"/>
          <w:szCs w:val="24"/>
          <w:vertAlign w:val="superscript"/>
        </w:rPr>
        <w:footnoteReference w:id="140"/>
      </w:r>
      <w:r w:rsidRPr="0042152F">
        <w:rPr>
          <w:rFonts w:ascii="Times New Roman" w:hAnsi="Times New Roman" w:cs="Times New Roman"/>
          <w:sz w:val="24"/>
          <w:szCs w:val="24"/>
        </w:rPr>
        <w:t xml:space="preserve"> This innovation transformed the investing industry. Warren Buffett once asserted that Jack Bogle was “the person who has done the most for American investors . . . hands-down.”</w:t>
      </w:r>
      <w:r w:rsidRPr="0042152F">
        <w:rPr>
          <w:rFonts w:ascii="Times New Roman" w:hAnsi="Times New Roman" w:cs="Times New Roman"/>
          <w:sz w:val="24"/>
          <w:szCs w:val="24"/>
          <w:vertAlign w:val="superscript"/>
        </w:rPr>
        <w:footnoteReference w:id="141"/>
      </w:r>
      <w:r w:rsidRPr="0042152F">
        <w:rPr>
          <w:rFonts w:ascii="Times New Roman" w:hAnsi="Times New Roman" w:cs="Times New Roman"/>
          <w:sz w:val="24"/>
          <w:szCs w:val="24"/>
        </w:rPr>
        <w:t xml:space="preserve"> Passive </w:t>
      </w:r>
      <w:r w:rsidR="000B2690">
        <w:rPr>
          <w:rFonts w:ascii="Times New Roman" w:hAnsi="Times New Roman" w:cs="Times New Roman"/>
          <w:sz w:val="24"/>
          <w:szCs w:val="24"/>
        </w:rPr>
        <w:t>funds have firmly taken hold</w:t>
      </w:r>
      <w:r w:rsidRPr="0042152F">
        <w:rPr>
          <w:rFonts w:ascii="Times New Roman" w:hAnsi="Times New Roman" w:cs="Times New Roman"/>
          <w:sz w:val="24"/>
          <w:szCs w:val="24"/>
        </w:rPr>
        <w:t>, surpassing actively managed funds in terms of assets under management in January 2023.</w:t>
      </w:r>
      <w:r w:rsidRPr="0042152F">
        <w:rPr>
          <w:rFonts w:ascii="Times New Roman" w:hAnsi="Times New Roman" w:cs="Times New Roman"/>
          <w:sz w:val="24"/>
          <w:szCs w:val="24"/>
          <w:vertAlign w:val="superscript"/>
        </w:rPr>
        <w:footnoteReference w:id="142"/>
      </w:r>
      <w:r w:rsidRPr="0042152F">
        <w:rPr>
          <w:rFonts w:ascii="Times New Roman" w:hAnsi="Times New Roman" w:cs="Times New Roman"/>
          <w:sz w:val="24"/>
          <w:szCs w:val="24"/>
        </w:rPr>
        <w:t xml:space="preserve"> </w:t>
      </w:r>
      <w:r w:rsidR="0010240C" w:rsidRPr="0042152F">
        <w:rPr>
          <w:rFonts w:ascii="Times New Roman" w:hAnsi="Times New Roman" w:cs="Times New Roman"/>
          <w:sz w:val="24"/>
          <w:szCs w:val="24"/>
        </w:rPr>
        <w:t xml:space="preserve">The asset managers that specialize in passively managed mutual funds are the largest in the world, with Vanguard holding the number two spot with over $7 trillion in </w:t>
      </w:r>
      <w:r w:rsidR="00EF1609" w:rsidRPr="0042152F">
        <w:rPr>
          <w:rFonts w:ascii="Times New Roman" w:hAnsi="Times New Roman" w:cs="Times New Roman"/>
          <w:sz w:val="24"/>
          <w:szCs w:val="24"/>
        </w:rPr>
        <w:t>assets under management</w:t>
      </w:r>
      <w:r w:rsidR="0010240C" w:rsidRPr="0042152F">
        <w:rPr>
          <w:rFonts w:ascii="Times New Roman" w:hAnsi="Times New Roman" w:cs="Times New Roman"/>
          <w:sz w:val="24"/>
          <w:szCs w:val="24"/>
        </w:rPr>
        <w:t>.</w:t>
      </w:r>
      <w:r w:rsidR="0010240C" w:rsidRPr="0042152F">
        <w:rPr>
          <w:rStyle w:val="FootnoteReference"/>
          <w:rFonts w:ascii="Times New Roman" w:hAnsi="Times New Roman" w:cs="Times New Roman"/>
          <w:sz w:val="24"/>
          <w:szCs w:val="24"/>
        </w:rPr>
        <w:footnoteReference w:id="143"/>
      </w:r>
      <w:r w:rsidR="0010240C" w:rsidRPr="0042152F">
        <w:rPr>
          <w:rFonts w:ascii="Times New Roman" w:hAnsi="Times New Roman" w:cs="Times New Roman"/>
          <w:sz w:val="24"/>
          <w:szCs w:val="24"/>
        </w:rPr>
        <w:t xml:space="preserve"> </w:t>
      </w:r>
    </w:p>
    <w:p w14:paraId="64E27EFB" w14:textId="77777777" w:rsidR="002F2D30" w:rsidRPr="0042152F" w:rsidRDefault="00F64FD9" w:rsidP="00B54C7C">
      <w:pPr>
        <w:tabs>
          <w:tab w:val="left" w:pos="720"/>
        </w:tabs>
        <w:spacing w:after="0" w:line="360" w:lineRule="auto"/>
        <w:jc w:val="both"/>
        <w:rPr>
          <w:rFonts w:ascii="Times New Roman" w:hAnsi="Times New Roman" w:cs="Times New Roman"/>
          <w:sz w:val="24"/>
          <w:szCs w:val="24"/>
        </w:rPr>
      </w:pPr>
      <w:r w:rsidRPr="0042152F">
        <w:rPr>
          <w:rFonts w:ascii="Times New Roman" w:hAnsi="Times New Roman" w:cs="Times New Roman"/>
          <w:sz w:val="24"/>
          <w:szCs w:val="24"/>
        </w:rPr>
        <w:tab/>
      </w:r>
      <w:r w:rsidR="00963AEA" w:rsidRPr="0042152F">
        <w:rPr>
          <w:rFonts w:ascii="Times New Roman" w:hAnsi="Times New Roman" w:cs="Times New Roman"/>
          <w:sz w:val="24"/>
          <w:szCs w:val="24"/>
        </w:rPr>
        <w:t xml:space="preserve">The passive investment vision did not have any sophisticated secrets or advanced intellectual property. Bogle and the market knew the same facts, but only Bogle believed in his vision. </w:t>
      </w:r>
      <w:r w:rsidRPr="0042152F">
        <w:rPr>
          <w:rFonts w:ascii="Times New Roman" w:hAnsi="Times New Roman" w:cs="Times New Roman"/>
          <w:sz w:val="24"/>
          <w:szCs w:val="24"/>
        </w:rPr>
        <w:t>Bogle could not offer proof to other Vanguard stakeholders that his idea would necessarily succeed when all direct market competitors operated differently. But he was able to convince the board to let him try</w:t>
      </w:r>
      <w:r w:rsidR="0010240C" w:rsidRPr="0042152F">
        <w:rPr>
          <w:rFonts w:ascii="Times New Roman" w:hAnsi="Times New Roman" w:cs="Times New Roman"/>
          <w:sz w:val="24"/>
          <w:szCs w:val="24"/>
        </w:rPr>
        <w:t xml:space="preserve">, which </w:t>
      </w:r>
      <w:r w:rsidRPr="0042152F">
        <w:rPr>
          <w:rFonts w:ascii="Times New Roman" w:hAnsi="Times New Roman" w:cs="Times New Roman"/>
          <w:sz w:val="24"/>
          <w:szCs w:val="24"/>
        </w:rPr>
        <w:t>result</w:t>
      </w:r>
      <w:r w:rsidR="0010240C" w:rsidRPr="0042152F">
        <w:rPr>
          <w:rFonts w:ascii="Times New Roman" w:hAnsi="Times New Roman" w:cs="Times New Roman"/>
          <w:sz w:val="24"/>
          <w:szCs w:val="24"/>
        </w:rPr>
        <w:t>ed</w:t>
      </w:r>
      <w:r w:rsidRPr="0042152F">
        <w:rPr>
          <w:rFonts w:ascii="Times New Roman" w:hAnsi="Times New Roman" w:cs="Times New Roman"/>
          <w:sz w:val="24"/>
          <w:szCs w:val="24"/>
        </w:rPr>
        <w:t xml:space="preserve"> in the transformation of investing worldwide. </w:t>
      </w:r>
    </w:p>
    <w:p w14:paraId="439F2D7F" w14:textId="453459F5" w:rsidR="00F64FD9" w:rsidRPr="0042152F" w:rsidRDefault="002F2D30" w:rsidP="002E3243">
      <w:pPr>
        <w:tabs>
          <w:tab w:val="left" w:pos="720"/>
        </w:tabs>
        <w:spacing w:after="120" w:line="360" w:lineRule="auto"/>
        <w:jc w:val="both"/>
        <w:rPr>
          <w:rFonts w:ascii="Times New Roman" w:hAnsi="Times New Roman" w:cs="Times New Roman"/>
          <w:sz w:val="24"/>
          <w:szCs w:val="24"/>
        </w:rPr>
      </w:pPr>
      <w:r w:rsidRPr="0042152F">
        <w:rPr>
          <w:rFonts w:ascii="Times New Roman" w:hAnsi="Times New Roman" w:cs="Times New Roman"/>
          <w:sz w:val="24"/>
          <w:szCs w:val="24"/>
        </w:rPr>
        <w:tab/>
      </w:r>
      <w:r w:rsidR="00F64FD9" w:rsidRPr="0042152F">
        <w:rPr>
          <w:rFonts w:ascii="Times New Roman" w:hAnsi="Times New Roman" w:cs="Times New Roman"/>
          <w:sz w:val="24"/>
          <w:szCs w:val="24"/>
        </w:rPr>
        <w:t>The</w:t>
      </w:r>
      <w:r w:rsidR="00EB708E" w:rsidRPr="0042152F">
        <w:rPr>
          <w:rFonts w:ascii="Times New Roman" w:hAnsi="Times New Roman" w:cs="Times New Roman"/>
          <w:sz w:val="24"/>
          <w:szCs w:val="24"/>
        </w:rPr>
        <w:t xml:space="preserve"> </w:t>
      </w:r>
      <w:r w:rsidR="00F64FD9" w:rsidRPr="0042152F">
        <w:rPr>
          <w:rFonts w:ascii="Times New Roman" w:hAnsi="Times New Roman" w:cs="Times New Roman"/>
          <w:sz w:val="24"/>
          <w:szCs w:val="24"/>
        </w:rPr>
        <w:t>entrepreneur might, of course, be proven wrong about</w:t>
      </w:r>
      <w:r w:rsidR="0010240C" w:rsidRPr="0042152F">
        <w:rPr>
          <w:rFonts w:ascii="Times New Roman" w:hAnsi="Times New Roman" w:cs="Times New Roman"/>
          <w:sz w:val="24"/>
          <w:szCs w:val="24"/>
        </w:rPr>
        <w:t xml:space="preserve"> their</w:t>
      </w:r>
      <w:r w:rsidR="00F64FD9" w:rsidRPr="0042152F">
        <w:rPr>
          <w:rFonts w:ascii="Times New Roman" w:hAnsi="Times New Roman" w:cs="Times New Roman"/>
          <w:sz w:val="24"/>
          <w:szCs w:val="24"/>
        </w:rPr>
        <w:t xml:space="preserve"> idea. But what matters for the analysis is that the entrepreneur has conceived of an idea that they believe will generate above-average</w:t>
      </w:r>
      <w:r w:rsidR="00F64FD9" w:rsidRPr="0042152F">
        <w:rPr>
          <w:rFonts w:ascii="Times New Roman" w:hAnsi="Times New Roman" w:cs="Times New Roman"/>
          <w:i/>
          <w:iCs/>
          <w:sz w:val="24"/>
          <w:szCs w:val="24"/>
        </w:rPr>
        <w:t xml:space="preserve"> </w:t>
      </w:r>
      <w:r w:rsidR="00F64FD9" w:rsidRPr="0042152F">
        <w:rPr>
          <w:rFonts w:ascii="Times New Roman" w:hAnsi="Times New Roman" w:cs="Times New Roman"/>
          <w:sz w:val="24"/>
          <w:szCs w:val="24"/>
        </w:rPr>
        <w:t>returns. While such ideas sometimes fail, they do occasionally succeed—generating significant wealth both for the entrepreneur</w:t>
      </w:r>
      <w:r w:rsidR="00926E9D">
        <w:rPr>
          <w:rFonts w:ascii="Times New Roman" w:hAnsi="Times New Roman" w:cs="Times New Roman"/>
          <w:sz w:val="24"/>
          <w:szCs w:val="24"/>
        </w:rPr>
        <w:t>s</w:t>
      </w:r>
      <w:r w:rsidR="00F64FD9" w:rsidRPr="0042152F">
        <w:rPr>
          <w:rFonts w:ascii="Times New Roman" w:hAnsi="Times New Roman" w:cs="Times New Roman"/>
          <w:sz w:val="24"/>
          <w:szCs w:val="24"/>
        </w:rPr>
        <w:t xml:space="preserve"> </w:t>
      </w:r>
      <w:r w:rsidR="00926E9D">
        <w:rPr>
          <w:rFonts w:ascii="Times New Roman" w:hAnsi="Times New Roman" w:cs="Times New Roman"/>
          <w:sz w:val="24"/>
          <w:szCs w:val="24"/>
        </w:rPr>
        <w:t xml:space="preserve">and their investors </w:t>
      </w:r>
      <w:r w:rsidR="00F64FD9" w:rsidRPr="0042152F">
        <w:rPr>
          <w:rFonts w:ascii="Times New Roman" w:hAnsi="Times New Roman" w:cs="Times New Roman"/>
          <w:sz w:val="24"/>
          <w:szCs w:val="24"/>
        </w:rPr>
        <w:t>as well as for society.</w:t>
      </w:r>
      <w:r w:rsidR="00963AEA" w:rsidRPr="0042152F">
        <w:rPr>
          <w:rStyle w:val="FootnoteReference"/>
          <w:rFonts w:ascii="Times New Roman" w:hAnsi="Times New Roman" w:cs="Times New Roman"/>
          <w:sz w:val="24"/>
          <w:szCs w:val="24"/>
        </w:rPr>
        <w:footnoteReference w:id="144"/>
      </w:r>
      <w:r w:rsidR="00F64FD9" w:rsidRPr="0042152F">
        <w:rPr>
          <w:rFonts w:ascii="Times New Roman" w:hAnsi="Times New Roman" w:cs="Times New Roman"/>
          <w:sz w:val="24"/>
          <w:szCs w:val="24"/>
        </w:rPr>
        <w:t xml:space="preserve"> </w:t>
      </w:r>
    </w:p>
    <w:p w14:paraId="42FF34AF" w14:textId="548266F9" w:rsidR="00D67519" w:rsidRPr="0042152F" w:rsidRDefault="0008781C" w:rsidP="00B26031">
      <w:pPr>
        <w:pStyle w:val="Heading3"/>
        <w:spacing w:before="0" w:after="0"/>
      </w:pPr>
      <w:bookmarkStart w:id="14" w:name="_Toc181789839"/>
      <w:r w:rsidRPr="0042152F">
        <w:t>ii</w:t>
      </w:r>
      <w:r w:rsidR="00D67519" w:rsidRPr="0042152F">
        <w:t>.</w:t>
      </w:r>
      <w:r w:rsidR="00F8692E" w:rsidRPr="0042152F">
        <w:tab/>
      </w:r>
      <w:r w:rsidR="00D67519" w:rsidRPr="0042152F">
        <w:t>The Failure of Acceptable Valuation Methods</w:t>
      </w:r>
      <w:bookmarkEnd w:id="14"/>
    </w:p>
    <w:p w14:paraId="119EA95F" w14:textId="3889F569" w:rsidR="003064B3" w:rsidRPr="0042152F" w:rsidRDefault="003A677D" w:rsidP="00B26031">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As th</w:t>
      </w:r>
      <w:r w:rsidR="001F69A8" w:rsidRPr="0042152F">
        <w:rPr>
          <w:rFonts w:ascii="Times New Roman" w:hAnsi="Times New Roman" w:cs="Times New Roman"/>
          <w:sz w:val="24"/>
          <w:szCs w:val="24"/>
        </w:rPr>
        <w:t xml:space="preserve">e Vanguard </w:t>
      </w:r>
      <w:r w:rsidRPr="0042152F">
        <w:rPr>
          <w:rFonts w:ascii="Times New Roman" w:hAnsi="Times New Roman" w:cs="Times New Roman"/>
          <w:sz w:val="24"/>
          <w:szCs w:val="24"/>
        </w:rPr>
        <w:t xml:space="preserve">example suggests, accepted valuation methods are fundamentally at odds with the task of valuing an entrepreneur’s vision. </w:t>
      </w:r>
      <w:r w:rsidR="0005407E" w:rsidRPr="0042152F">
        <w:rPr>
          <w:rFonts w:ascii="Times New Roman" w:hAnsi="Times New Roman" w:cs="Times New Roman"/>
          <w:sz w:val="24"/>
          <w:szCs w:val="24"/>
        </w:rPr>
        <w:t xml:space="preserve">The two valuation methods </w:t>
      </w:r>
      <w:r w:rsidR="00D67519" w:rsidRPr="0042152F">
        <w:rPr>
          <w:rFonts w:ascii="Times New Roman" w:hAnsi="Times New Roman" w:cs="Times New Roman"/>
          <w:sz w:val="24"/>
          <w:szCs w:val="24"/>
        </w:rPr>
        <w:t xml:space="preserve">often </w:t>
      </w:r>
      <w:r w:rsidR="0005407E" w:rsidRPr="0042152F">
        <w:rPr>
          <w:rFonts w:ascii="Times New Roman" w:hAnsi="Times New Roman" w:cs="Times New Roman"/>
          <w:sz w:val="24"/>
          <w:szCs w:val="24"/>
        </w:rPr>
        <w:t xml:space="preserve">used by Delaware courts (as well as the experts who provide valuation analysis in litigation) are a comparable companies </w:t>
      </w:r>
      <w:r w:rsidR="009B6EB4">
        <w:rPr>
          <w:rFonts w:ascii="Times New Roman" w:hAnsi="Times New Roman" w:cs="Times New Roman"/>
          <w:sz w:val="24"/>
          <w:szCs w:val="24"/>
        </w:rPr>
        <w:t>and DCF analysis</w:t>
      </w:r>
      <w:r w:rsidR="0005407E" w:rsidRPr="0042152F">
        <w:rPr>
          <w:rFonts w:ascii="Times New Roman" w:hAnsi="Times New Roman" w:cs="Times New Roman"/>
          <w:sz w:val="24"/>
          <w:szCs w:val="24"/>
        </w:rPr>
        <w:t>.</w:t>
      </w:r>
      <w:r w:rsidR="0005407E" w:rsidRPr="0042152F">
        <w:rPr>
          <w:rStyle w:val="FootnoteReference"/>
          <w:rFonts w:ascii="Times New Roman" w:hAnsi="Times New Roman" w:cs="Times New Roman"/>
          <w:sz w:val="24"/>
          <w:szCs w:val="24"/>
        </w:rPr>
        <w:footnoteReference w:id="145"/>
      </w:r>
      <w:r w:rsidR="0005407E" w:rsidRPr="0042152F">
        <w:rPr>
          <w:rFonts w:ascii="Times New Roman" w:hAnsi="Times New Roman" w:cs="Times New Roman"/>
          <w:sz w:val="24"/>
          <w:szCs w:val="24"/>
        </w:rPr>
        <w:t xml:space="preserve"> </w:t>
      </w:r>
      <w:r w:rsidRPr="0042152F">
        <w:rPr>
          <w:rFonts w:ascii="Times New Roman" w:hAnsi="Times New Roman" w:cs="Times New Roman"/>
          <w:sz w:val="24"/>
          <w:szCs w:val="24"/>
        </w:rPr>
        <w:t>These methodologies seek to value the company’s assets independently of the individuals that control those assets.</w:t>
      </w:r>
      <w:r w:rsidRPr="0042152F">
        <w:rPr>
          <w:rFonts w:ascii="Times New Roman" w:hAnsi="Times New Roman" w:cs="Times New Roman"/>
          <w:sz w:val="24"/>
          <w:szCs w:val="24"/>
          <w:vertAlign w:val="superscript"/>
        </w:rPr>
        <w:footnoteReference w:id="146"/>
      </w:r>
      <w:r w:rsidRPr="0042152F">
        <w:rPr>
          <w:rFonts w:ascii="Times New Roman" w:hAnsi="Times New Roman" w:cs="Times New Roman"/>
          <w:sz w:val="24"/>
          <w:szCs w:val="24"/>
        </w:rPr>
        <w:t xml:space="preserve"> The goal of </w:t>
      </w:r>
      <w:r w:rsidR="00AA595A" w:rsidRPr="0042152F">
        <w:rPr>
          <w:rFonts w:ascii="Times New Roman" w:hAnsi="Times New Roman" w:cs="Times New Roman"/>
          <w:sz w:val="24"/>
          <w:szCs w:val="24"/>
        </w:rPr>
        <w:t>these valuations</w:t>
      </w:r>
      <w:r w:rsidRPr="0042152F">
        <w:rPr>
          <w:rFonts w:ascii="Times New Roman" w:hAnsi="Times New Roman" w:cs="Times New Roman"/>
          <w:sz w:val="24"/>
          <w:szCs w:val="24"/>
        </w:rPr>
        <w:t xml:space="preserve"> is to predict the value at which the assets would trade hands in the market.</w:t>
      </w:r>
      <w:r w:rsidRPr="0042152F">
        <w:rPr>
          <w:rFonts w:ascii="Times New Roman" w:hAnsi="Times New Roman" w:cs="Times New Roman"/>
          <w:sz w:val="24"/>
          <w:szCs w:val="24"/>
          <w:vertAlign w:val="superscript"/>
        </w:rPr>
        <w:footnoteReference w:id="147"/>
      </w:r>
      <w:r w:rsidRPr="0042152F">
        <w:rPr>
          <w:rFonts w:ascii="Times New Roman" w:hAnsi="Times New Roman" w:cs="Times New Roman"/>
          <w:sz w:val="24"/>
          <w:szCs w:val="24"/>
        </w:rPr>
        <w:t xml:space="preserve"> Thus, projections that model a firm’s future cash</w:t>
      </w:r>
      <w:r w:rsidR="00444C05">
        <w:rPr>
          <w:rFonts w:ascii="Times New Roman" w:hAnsi="Times New Roman" w:cs="Times New Roman"/>
          <w:sz w:val="24"/>
          <w:szCs w:val="24"/>
        </w:rPr>
        <w:t>-</w:t>
      </w:r>
      <w:r w:rsidRPr="0042152F">
        <w:rPr>
          <w:rFonts w:ascii="Times New Roman" w:hAnsi="Times New Roman" w:cs="Times New Roman"/>
          <w:sz w:val="24"/>
          <w:szCs w:val="24"/>
        </w:rPr>
        <w:t>flow</w:t>
      </w:r>
      <w:r w:rsidR="00444C05">
        <w:rPr>
          <w:rFonts w:ascii="Times New Roman" w:hAnsi="Times New Roman" w:cs="Times New Roman"/>
          <w:sz w:val="24"/>
          <w:szCs w:val="24"/>
        </w:rPr>
        <w:t>s</w:t>
      </w:r>
      <w:r w:rsidRPr="0042152F">
        <w:rPr>
          <w:rFonts w:ascii="Times New Roman" w:hAnsi="Times New Roman" w:cs="Times New Roman"/>
          <w:sz w:val="24"/>
          <w:szCs w:val="24"/>
        </w:rPr>
        <w:t xml:space="preserve">, like the DCF methodology, are based on the most likely performance of that set of assets in existing market conditions, </w:t>
      </w:r>
      <w:r w:rsidR="009B6EB4">
        <w:rPr>
          <w:rFonts w:ascii="Times New Roman" w:hAnsi="Times New Roman" w:cs="Times New Roman"/>
          <w:sz w:val="24"/>
          <w:szCs w:val="24"/>
        </w:rPr>
        <w:t>ignoring</w:t>
      </w:r>
      <w:r w:rsidR="001C46F7" w:rsidRPr="0042152F">
        <w:rPr>
          <w:rFonts w:ascii="Times New Roman" w:hAnsi="Times New Roman" w:cs="Times New Roman"/>
          <w:sz w:val="24"/>
          <w:szCs w:val="24"/>
        </w:rPr>
        <w:t xml:space="preserve"> the </w:t>
      </w:r>
      <w:r w:rsidRPr="0042152F">
        <w:rPr>
          <w:rFonts w:ascii="Times New Roman" w:hAnsi="Times New Roman" w:cs="Times New Roman"/>
          <w:sz w:val="24"/>
          <w:szCs w:val="24"/>
        </w:rPr>
        <w:t>manager</w:t>
      </w:r>
      <w:r w:rsidR="001C46F7" w:rsidRPr="0042152F">
        <w:rPr>
          <w:rFonts w:ascii="Times New Roman" w:hAnsi="Times New Roman" w:cs="Times New Roman"/>
          <w:sz w:val="24"/>
          <w:szCs w:val="24"/>
        </w:rPr>
        <w:t>’s identity</w:t>
      </w:r>
      <w:r w:rsidRPr="0042152F">
        <w:rPr>
          <w:rFonts w:ascii="Times New Roman" w:hAnsi="Times New Roman" w:cs="Times New Roman"/>
          <w:sz w:val="24"/>
          <w:szCs w:val="24"/>
        </w:rPr>
        <w:t>.</w:t>
      </w:r>
      <w:bookmarkStart w:id="15" w:name="_Ref184508371"/>
      <w:r w:rsidRPr="0042152F">
        <w:rPr>
          <w:rStyle w:val="FootnoteReference"/>
          <w:rFonts w:ascii="Times New Roman" w:hAnsi="Times New Roman" w:cs="Times New Roman"/>
          <w:sz w:val="24"/>
          <w:szCs w:val="24"/>
        </w:rPr>
        <w:footnoteReference w:id="148"/>
      </w:r>
      <w:bookmarkEnd w:id="15"/>
      <w:r w:rsidRPr="0042152F">
        <w:rPr>
          <w:rFonts w:ascii="Times New Roman" w:hAnsi="Times New Roman" w:cs="Times New Roman"/>
          <w:sz w:val="24"/>
          <w:szCs w:val="24"/>
        </w:rPr>
        <w:t xml:space="preserve"> </w:t>
      </w:r>
      <w:r w:rsidR="0005407E" w:rsidRPr="0042152F">
        <w:rPr>
          <w:rFonts w:ascii="Times New Roman" w:hAnsi="Times New Roman" w:cs="Times New Roman"/>
          <w:sz w:val="24"/>
          <w:szCs w:val="24"/>
        </w:rPr>
        <w:t>Likewise, the comparable companies analysis finds examples of analogous assets that have recently been sold in arm’s length transactions and uses those prices to attempt to estimate what the asset in question is worth, without considering the value that the particular entrepreneur could bring to the table.</w:t>
      </w:r>
      <w:r w:rsidR="00FC4E99" w:rsidRPr="0042152F">
        <w:rPr>
          <w:rStyle w:val="FootnoteReference"/>
          <w:rFonts w:ascii="Times New Roman" w:hAnsi="Times New Roman" w:cs="Times New Roman"/>
          <w:sz w:val="24"/>
          <w:szCs w:val="24"/>
        </w:rPr>
        <w:footnoteReference w:id="149"/>
      </w:r>
    </w:p>
    <w:p w14:paraId="2AF8BEE9" w14:textId="03EF8009" w:rsidR="0005407E" w:rsidRPr="0042152F" w:rsidRDefault="003A677D"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Given the extreme differences in company performance that can be driven by company leadership, the failure of accepted valuation techniques to account for outliers is a crucial flaw</w:t>
      </w:r>
      <w:r w:rsidR="00AC11FA" w:rsidRPr="0042152F">
        <w:rPr>
          <w:rFonts w:ascii="Times New Roman" w:hAnsi="Times New Roman" w:cs="Times New Roman"/>
          <w:sz w:val="24"/>
          <w:szCs w:val="24"/>
        </w:rPr>
        <w:t xml:space="preserve"> that undermines the</w:t>
      </w:r>
      <w:r w:rsidR="006654C4">
        <w:rPr>
          <w:rFonts w:ascii="Times New Roman" w:hAnsi="Times New Roman" w:cs="Times New Roman"/>
          <w:sz w:val="24"/>
          <w:szCs w:val="24"/>
        </w:rPr>
        <w:t xml:space="preserve"> court’s</w:t>
      </w:r>
      <w:r w:rsidR="00AC11FA" w:rsidRPr="0042152F">
        <w:rPr>
          <w:rFonts w:ascii="Times New Roman" w:hAnsi="Times New Roman" w:cs="Times New Roman"/>
          <w:sz w:val="24"/>
          <w:szCs w:val="24"/>
        </w:rPr>
        <w:t xml:space="preserve"> ability to </w:t>
      </w:r>
      <w:r w:rsidR="006C1DAA" w:rsidRPr="0042152F">
        <w:rPr>
          <w:rFonts w:ascii="Times New Roman" w:hAnsi="Times New Roman" w:cs="Times New Roman"/>
          <w:sz w:val="24"/>
          <w:szCs w:val="24"/>
        </w:rPr>
        <w:t>value vision</w:t>
      </w:r>
      <w:r w:rsidRPr="0042152F">
        <w:rPr>
          <w:rFonts w:ascii="Times New Roman" w:hAnsi="Times New Roman" w:cs="Times New Roman"/>
          <w:sz w:val="24"/>
          <w:szCs w:val="24"/>
        </w:rPr>
        <w:t xml:space="preserve">. </w:t>
      </w:r>
      <w:r w:rsidR="00D1604D">
        <w:rPr>
          <w:rFonts w:ascii="Times New Roman" w:hAnsi="Times New Roman" w:cs="Times New Roman"/>
          <w:sz w:val="24"/>
          <w:szCs w:val="24"/>
        </w:rPr>
        <w:t>Again, DCF p</w:t>
      </w:r>
      <w:r w:rsidR="00D1604D" w:rsidRPr="0042152F">
        <w:rPr>
          <w:rFonts w:ascii="Times New Roman" w:hAnsi="Times New Roman" w:cs="Times New Roman"/>
          <w:sz w:val="24"/>
          <w:szCs w:val="24"/>
        </w:rPr>
        <w:t xml:space="preserve">rojections </w:t>
      </w:r>
      <w:r w:rsidRPr="0042152F">
        <w:rPr>
          <w:rFonts w:ascii="Times New Roman" w:hAnsi="Times New Roman" w:cs="Times New Roman"/>
          <w:sz w:val="24"/>
          <w:szCs w:val="24"/>
        </w:rPr>
        <w:t>are based on the asset’s most likely performance given available objective information like a firm’s exposure to systemic risk, debt-to-equity rations, expected revenue, and other metrics,</w:t>
      </w:r>
      <w:r w:rsidR="00D1604D">
        <w:rPr>
          <w:rFonts w:ascii="Times New Roman" w:hAnsi="Times New Roman" w:cs="Times New Roman"/>
          <w:sz w:val="24"/>
          <w:szCs w:val="24"/>
        </w:rPr>
        <w:t xml:space="preserve"> all of which </w:t>
      </w:r>
      <w:r w:rsidR="005C77C6">
        <w:rPr>
          <w:rFonts w:ascii="Times New Roman" w:hAnsi="Times New Roman" w:cs="Times New Roman"/>
          <w:sz w:val="24"/>
          <w:szCs w:val="24"/>
        </w:rPr>
        <w:t>are</w:t>
      </w:r>
      <w:r w:rsidRPr="0042152F">
        <w:rPr>
          <w:rFonts w:ascii="Times New Roman" w:hAnsi="Times New Roman" w:cs="Times New Roman"/>
          <w:sz w:val="24"/>
          <w:szCs w:val="24"/>
        </w:rPr>
        <w:t xml:space="preserve"> divorced from the </w:t>
      </w:r>
      <w:r w:rsidR="00D1604D">
        <w:rPr>
          <w:rFonts w:ascii="Times New Roman" w:hAnsi="Times New Roman" w:cs="Times New Roman"/>
          <w:sz w:val="24"/>
          <w:szCs w:val="24"/>
        </w:rPr>
        <w:t xml:space="preserve">performance of the </w:t>
      </w:r>
      <w:r w:rsidRPr="0042152F">
        <w:rPr>
          <w:rFonts w:ascii="Times New Roman" w:hAnsi="Times New Roman" w:cs="Times New Roman"/>
          <w:sz w:val="24"/>
          <w:szCs w:val="24"/>
        </w:rPr>
        <w:t>firm’s managers.</w:t>
      </w:r>
      <w:r w:rsidRPr="0042152F">
        <w:rPr>
          <w:rFonts w:ascii="Times New Roman" w:hAnsi="Times New Roman" w:cs="Times New Roman"/>
          <w:sz w:val="24"/>
          <w:szCs w:val="24"/>
          <w:vertAlign w:val="superscript"/>
        </w:rPr>
        <w:footnoteReference w:id="150"/>
      </w:r>
      <w:r w:rsidRPr="0042152F">
        <w:rPr>
          <w:rFonts w:ascii="Times New Roman" w:hAnsi="Times New Roman" w:cs="Times New Roman"/>
          <w:sz w:val="24"/>
          <w:szCs w:val="24"/>
        </w:rPr>
        <w:t xml:space="preserve"> Moreover, </w:t>
      </w:r>
      <w:r w:rsidR="0005407E" w:rsidRPr="0042152F">
        <w:rPr>
          <w:rFonts w:ascii="Times New Roman" w:hAnsi="Times New Roman" w:cs="Times New Roman"/>
          <w:sz w:val="24"/>
          <w:szCs w:val="24"/>
        </w:rPr>
        <w:t>basing the transaction’s value on</w:t>
      </w:r>
      <w:r w:rsidRPr="0042152F">
        <w:rPr>
          <w:rFonts w:ascii="Times New Roman" w:hAnsi="Times New Roman" w:cs="Times New Roman"/>
          <w:sz w:val="24"/>
          <w:szCs w:val="24"/>
        </w:rPr>
        <w:t xml:space="preserve"> </w:t>
      </w:r>
      <w:r w:rsidR="007F096A" w:rsidRPr="0042152F">
        <w:rPr>
          <w:rFonts w:ascii="Times New Roman" w:hAnsi="Times New Roman" w:cs="Times New Roman"/>
          <w:sz w:val="24"/>
          <w:szCs w:val="24"/>
        </w:rPr>
        <w:t xml:space="preserve">benchmarking </w:t>
      </w:r>
      <w:r w:rsidR="0005407E" w:rsidRPr="0042152F">
        <w:rPr>
          <w:rFonts w:ascii="Times New Roman" w:hAnsi="Times New Roman" w:cs="Times New Roman"/>
          <w:sz w:val="24"/>
          <w:szCs w:val="24"/>
        </w:rPr>
        <w:t>or a comparable companies analysis relies</w:t>
      </w:r>
      <w:r w:rsidRPr="0042152F">
        <w:rPr>
          <w:rFonts w:ascii="Times New Roman" w:hAnsi="Times New Roman" w:cs="Times New Roman"/>
          <w:sz w:val="24"/>
          <w:szCs w:val="24"/>
        </w:rPr>
        <w:t xml:space="preserve"> on expected returns for a group of assets under an average manager—a method which fails to account for outsize value that can be generated by a leader’s idiosyncratic vision.  </w:t>
      </w:r>
    </w:p>
    <w:p w14:paraId="55DAFBF9" w14:textId="6BD7FB3C" w:rsidR="00063DDC" w:rsidRPr="0042152F" w:rsidRDefault="00063DDC"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These valuation difficulties lead to many undesirable outcomes</w:t>
      </w:r>
      <w:r w:rsidR="00840C91" w:rsidRPr="0042152F">
        <w:rPr>
          <w:rFonts w:ascii="Times New Roman" w:hAnsi="Times New Roman" w:cs="Times New Roman"/>
          <w:sz w:val="24"/>
          <w:szCs w:val="24"/>
        </w:rPr>
        <w:t xml:space="preserve"> when applied to visionary entrepreneurs</w:t>
      </w:r>
      <w:r w:rsidRPr="0042152F">
        <w:rPr>
          <w:rFonts w:ascii="Times New Roman" w:hAnsi="Times New Roman" w:cs="Times New Roman"/>
          <w:sz w:val="24"/>
          <w:szCs w:val="24"/>
        </w:rPr>
        <w:t xml:space="preserve">: entrepreneurs that fail to convince investors about the value of their ideas may never see them realized, investors that fail to separate the great ideas from the bad will suffer poor returns, </w:t>
      </w:r>
      <w:r w:rsidRPr="0042152F">
        <w:rPr>
          <w:rFonts w:ascii="Times New Roman" w:hAnsi="Times New Roman" w:cs="Times New Roman"/>
          <w:sz w:val="24"/>
          <w:szCs w:val="24"/>
        </w:rPr>
        <w:lastRenderedPageBreak/>
        <w:t xml:space="preserve">and </w:t>
      </w:r>
      <w:r w:rsidR="003064B3" w:rsidRPr="0042152F">
        <w:rPr>
          <w:rFonts w:ascii="Times New Roman" w:hAnsi="Times New Roman" w:cs="Times New Roman"/>
          <w:sz w:val="24"/>
          <w:szCs w:val="24"/>
        </w:rPr>
        <w:t xml:space="preserve">overall, the failure to match investors with visionary entrepreneurs will cause </w:t>
      </w:r>
      <w:r w:rsidRPr="0042152F">
        <w:rPr>
          <w:rFonts w:ascii="Times New Roman" w:hAnsi="Times New Roman" w:cs="Times New Roman"/>
          <w:sz w:val="24"/>
          <w:szCs w:val="24"/>
        </w:rPr>
        <w:t xml:space="preserve">social welfare </w:t>
      </w:r>
      <w:r w:rsidR="003064B3" w:rsidRPr="0042152F">
        <w:rPr>
          <w:rFonts w:ascii="Times New Roman" w:hAnsi="Times New Roman" w:cs="Times New Roman"/>
          <w:sz w:val="24"/>
          <w:szCs w:val="24"/>
        </w:rPr>
        <w:t xml:space="preserve">to </w:t>
      </w:r>
      <w:r w:rsidRPr="0042152F">
        <w:rPr>
          <w:rFonts w:ascii="Times New Roman" w:hAnsi="Times New Roman" w:cs="Times New Roman"/>
          <w:sz w:val="24"/>
          <w:szCs w:val="24"/>
        </w:rPr>
        <w:t xml:space="preserve">suffer. </w:t>
      </w:r>
      <w:r w:rsidR="00AA595A" w:rsidRPr="0042152F">
        <w:rPr>
          <w:rFonts w:ascii="Times New Roman" w:hAnsi="Times New Roman" w:cs="Times New Roman"/>
          <w:sz w:val="24"/>
          <w:szCs w:val="24"/>
        </w:rPr>
        <w:t>More relevant for this Article</w:t>
      </w:r>
      <w:r w:rsidRPr="0042152F">
        <w:rPr>
          <w:rFonts w:ascii="Times New Roman" w:hAnsi="Times New Roman" w:cs="Times New Roman"/>
          <w:sz w:val="24"/>
          <w:szCs w:val="24"/>
        </w:rPr>
        <w:t xml:space="preserve">, judges who are asked to determine the </w:t>
      </w:r>
      <w:r w:rsidR="00E718DA" w:rsidRPr="0042152F">
        <w:rPr>
          <w:rFonts w:ascii="Times New Roman" w:hAnsi="Times New Roman" w:cs="Times New Roman"/>
          <w:sz w:val="24"/>
          <w:szCs w:val="24"/>
        </w:rPr>
        <w:t>“fair</w:t>
      </w:r>
      <w:r w:rsidR="00AA595A" w:rsidRPr="0042152F">
        <w:rPr>
          <w:rFonts w:ascii="Times New Roman" w:hAnsi="Times New Roman" w:cs="Times New Roman"/>
          <w:sz w:val="24"/>
          <w:szCs w:val="24"/>
        </w:rPr>
        <w:t xml:space="preserve"> </w:t>
      </w:r>
      <w:r w:rsidR="00E718DA" w:rsidRPr="0042152F">
        <w:rPr>
          <w:rFonts w:ascii="Times New Roman" w:hAnsi="Times New Roman" w:cs="Times New Roman"/>
          <w:sz w:val="24"/>
          <w:szCs w:val="24"/>
        </w:rPr>
        <w:t>value</w:t>
      </w:r>
      <w:r w:rsidR="00AA595A" w:rsidRPr="0042152F">
        <w:rPr>
          <w:rFonts w:ascii="Times New Roman" w:hAnsi="Times New Roman" w:cs="Times New Roman"/>
          <w:sz w:val="24"/>
          <w:szCs w:val="24"/>
        </w:rPr>
        <w:t>”</w:t>
      </w:r>
      <w:r w:rsidR="00E718DA" w:rsidRPr="0042152F">
        <w:rPr>
          <w:rFonts w:ascii="Times New Roman" w:hAnsi="Times New Roman" w:cs="Times New Roman"/>
          <w:sz w:val="24"/>
          <w:szCs w:val="24"/>
        </w:rPr>
        <w:t xml:space="preserve"> of </w:t>
      </w:r>
      <w:r w:rsidRPr="0042152F">
        <w:rPr>
          <w:rFonts w:ascii="Times New Roman" w:hAnsi="Times New Roman" w:cs="Times New Roman"/>
          <w:sz w:val="24"/>
          <w:szCs w:val="24"/>
        </w:rPr>
        <w:t xml:space="preserve">an entrepreneur’s </w:t>
      </w:r>
      <w:r w:rsidR="007F096A" w:rsidRPr="0042152F">
        <w:rPr>
          <w:rFonts w:ascii="Times New Roman" w:hAnsi="Times New Roman" w:cs="Times New Roman"/>
          <w:sz w:val="24"/>
          <w:szCs w:val="24"/>
        </w:rPr>
        <w:t xml:space="preserve">idiosyncratic </w:t>
      </w:r>
      <w:r w:rsidRPr="0042152F">
        <w:rPr>
          <w:rFonts w:ascii="Times New Roman" w:hAnsi="Times New Roman" w:cs="Times New Roman"/>
          <w:sz w:val="24"/>
          <w:szCs w:val="24"/>
        </w:rPr>
        <w:t>vision may not necessarily get the answer right</w:t>
      </w:r>
      <w:r w:rsidR="003A677D" w:rsidRPr="0042152F">
        <w:rPr>
          <w:rFonts w:ascii="Times New Roman" w:hAnsi="Times New Roman" w:cs="Times New Roman"/>
          <w:sz w:val="24"/>
          <w:szCs w:val="24"/>
        </w:rPr>
        <w:t xml:space="preserve">. </w:t>
      </w:r>
    </w:p>
    <w:p w14:paraId="37ADEE12" w14:textId="3EAE0B00" w:rsidR="00AA595A" w:rsidRPr="0042152F" w:rsidRDefault="00E718DA"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As we explained</w:t>
      </w:r>
      <w:r w:rsidR="00F64FD9" w:rsidRPr="0042152F">
        <w:rPr>
          <w:rFonts w:ascii="Times New Roman" w:hAnsi="Times New Roman" w:cs="Times New Roman"/>
          <w:sz w:val="24"/>
          <w:szCs w:val="24"/>
        </w:rPr>
        <w:t>, a distinctive feature of an entrepreneur’s idiosyncratic vision is that it reflects the parts of the entrepreneur’s business idea that outsiders may be unable to observe or verify.</w:t>
      </w:r>
      <w:r w:rsidR="00F64FD9" w:rsidRPr="0042152F">
        <w:rPr>
          <w:rFonts w:ascii="Times New Roman" w:hAnsi="Times New Roman" w:cs="Times New Roman"/>
          <w:sz w:val="24"/>
          <w:szCs w:val="24"/>
          <w:vertAlign w:val="superscript"/>
        </w:rPr>
        <w:footnoteReference w:id="151"/>
      </w:r>
      <w:r w:rsidR="00F64FD9" w:rsidRPr="0042152F">
        <w:rPr>
          <w:rFonts w:ascii="Times New Roman" w:hAnsi="Times New Roman" w:cs="Times New Roman"/>
          <w:sz w:val="24"/>
          <w:szCs w:val="24"/>
        </w:rPr>
        <w:t xml:space="preserve"> </w:t>
      </w:r>
      <w:r w:rsidR="00621D44" w:rsidRPr="0042152F">
        <w:rPr>
          <w:rFonts w:ascii="Times New Roman" w:hAnsi="Times New Roman" w:cs="Times New Roman"/>
          <w:sz w:val="24"/>
          <w:szCs w:val="24"/>
        </w:rPr>
        <w:t xml:space="preserve">And herein lies the challenges from an objective valuation perspective. </w:t>
      </w:r>
      <w:r w:rsidR="00F64FD9" w:rsidRPr="0042152F">
        <w:rPr>
          <w:rFonts w:ascii="Times New Roman" w:hAnsi="Times New Roman" w:cs="Times New Roman"/>
          <w:sz w:val="24"/>
          <w:szCs w:val="24"/>
        </w:rPr>
        <w:t>When an entrepreneur</w:t>
      </w:r>
      <w:r w:rsidR="004F0AC0" w:rsidRPr="0042152F">
        <w:rPr>
          <w:rFonts w:ascii="Times New Roman" w:hAnsi="Times New Roman" w:cs="Times New Roman"/>
          <w:sz w:val="24"/>
          <w:szCs w:val="24"/>
        </w:rPr>
        <w:t>’</w:t>
      </w:r>
      <w:r w:rsidR="00F64FD9" w:rsidRPr="0042152F">
        <w:rPr>
          <w:rFonts w:ascii="Times New Roman" w:hAnsi="Times New Roman" w:cs="Times New Roman"/>
          <w:sz w:val="24"/>
          <w:szCs w:val="24"/>
        </w:rPr>
        <w:t xml:space="preserve">s vision </w:t>
      </w:r>
      <w:r w:rsidR="00FD46EF" w:rsidRPr="0042152F">
        <w:rPr>
          <w:rFonts w:ascii="Times New Roman" w:hAnsi="Times New Roman" w:cs="Times New Roman"/>
          <w:sz w:val="24"/>
          <w:szCs w:val="24"/>
        </w:rPr>
        <w:t xml:space="preserve">for the company </w:t>
      </w:r>
      <w:r w:rsidR="00F64FD9" w:rsidRPr="0042152F">
        <w:rPr>
          <w:rFonts w:ascii="Times New Roman" w:hAnsi="Times New Roman" w:cs="Times New Roman"/>
          <w:sz w:val="24"/>
          <w:szCs w:val="24"/>
        </w:rPr>
        <w:t>is shaped by her experience, knowledge, character, and intuition, another individual with the same goals</w:t>
      </w:r>
      <w:r w:rsidR="00FD46EF" w:rsidRPr="0042152F">
        <w:rPr>
          <w:rFonts w:ascii="Times New Roman" w:hAnsi="Times New Roman" w:cs="Times New Roman"/>
          <w:sz w:val="24"/>
          <w:szCs w:val="24"/>
        </w:rPr>
        <w:t xml:space="preserve"> </w:t>
      </w:r>
      <w:r w:rsidR="00F64FD9" w:rsidRPr="0042152F">
        <w:rPr>
          <w:rFonts w:ascii="Times New Roman" w:hAnsi="Times New Roman" w:cs="Times New Roman"/>
          <w:sz w:val="24"/>
          <w:szCs w:val="24"/>
        </w:rPr>
        <w:t xml:space="preserve">may reach different conclusions regarding the viability and value of the idiosyncratic vision. </w:t>
      </w:r>
      <w:r w:rsidR="00AA595A" w:rsidRPr="0042152F">
        <w:rPr>
          <w:rFonts w:ascii="Times New Roman" w:hAnsi="Times New Roman" w:cs="Times New Roman"/>
          <w:sz w:val="24"/>
          <w:szCs w:val="24"/>
        </w:rPr>
        <w:t xml:space="preserve"> Indeed, investors who did not believe in Musk’s vision and sold their Tesla shares at the low price of $12 in June 2019 lost out, while those who believed in his vision and bought at that time saw their investment increase </w:t>
      </w:r>
      <w:r w:rsidR="0093507C" w:rsidRPr="0042152F">
        <w:rPr>
          <w:rFonts w:ascii="Times New Roman" w:hAnsi="Times New Roman" w:cs="Times New Roman"/>
          <w:sz w:val="24"/>
          <w:szCs w:val="24"/>
        </w:rPr>
        <w:t>thirty-three-fold</w:t>
      </w:r>
      <w:r w:rsidR="00AA595A" w:rsidRPr="0042152F">
        <w:rPr>
          <w:rFonts w:ascii="Times New Roman" w:hAnsi="Times New Roman" w:cs="Times New Roman"/>
          <w:sz w:val="24"/>
          <w:szCs w:val="24"/>
        </w:rPr>
        <w:t xml:space="preserve"> by November 2021.</w:t>
      </w:r>
    </w:p>
    <w:p w14:paraId="5345747D" w14:textId="2F595AEB" w:rsidR="00AA595A" w:rsidRPr="0042152F" w:rsidRDefault="00A74F6B"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sum, t</w:t>
      </w:r>
      <w:r w:rsidRPr="0042152F">
        <w:rPr>
          <w:rFonts w:ascii="Times New Roman" w:hAnsi="Times New Roman" w:cs="Times New Roman"/>
          <w:sz w:val="24"/>
          <w:szCs w:val="24"/>
        </w:rPr>
        <w:t xml:space="preserve">hese </w:t>
      </w:r>
      <w:r w:rsidR="00AA595A" w:rsidRPr="0042152F">
        <w:rPr>
          <w:rFonts w:ascii="Times New Roman" w:hAnsi="Times New Roman" w:cs="Times New Roman"/>
          <w:sz w:val="24"/>
          <w:szCs w:val="24"/>
        </w:rPr>
        <w:t>limitations plague valuations by</w:t>
      </w:r>
      <w:r w:rsidR="00C5646E" w:rsidRPr="0042152F">
        <w:rPr>
          <w:rFonts w:ascii="Times New Roman" w:hAnsi="Times New Roman" w:cs="Times New Roman"/>
          <w:sz w:val="24"/>
          <w:szCs w:val="24"/>
        </w:rPr>
        <w:t xml:space="preserve"> </w:t>
      </w:r>
      <w:r w:rsidR="003D3C59" w:rsidRPr="0042152F">
        <w:rPr>
          <w:rFonts w:ascii="Times New Roman" w:hAnsi="Times New Roman" w:cs="Times New Roman"/>
          <w:sz w:val="24"/>
          <w:szCs w:val="24"/>
        </w:rPr>
        <w:t xml:space="preserve">outside </w:t>
      </w:r>
      <w:r w:rsidR="00C5646E" w:rsidRPr="0042152F">
        <w:rPr>
          <w:rFonts w:ascii="Times New Roman" w:hAnsi="Times New Roman" w:cs="Times New Roman"/>
          <w:sz w:val="24"/>
          <w:szCs w:val="24"/>
        </w:rPr>
        <w:t xml:space="preserve">experts, directors, individual shareholders, and courts. </w:t>
      </w:r>
      <w:r w:rsidR="00F64FD9" w:rsidRPr="0042152F">
        <w:rPr>
          <w:rFonts w:ascii="Times New Roman" w:hAnsi="Times New Roman" w:cs="Times New Roman"/>
          <w:sz w:val="24"/>
          <w:szCs w:val="24"/>
        </w:rPr>
        <w:t xml:space="preserve">Even when the firm is publicly traded and investors are using stock prices as a proxy for the firm’s performance, there is still </w:t>
      </w:r>
      <w:r w:rsidR="004F0AC0" w:rsidRPr="0042152F">
        <w:rPr>
          <w:rFonts w:ascii="Times New Roman" w:hAnsi="Times New Roman" w:cs="Times New Roman"/>
          <w:sz w:val="24"/>
          <w:szCs w:val="24"/>
        </w:rPr>
        <w:t>the</w:t>
      </w:r>
      <w:r w:rsidR="00F64FD9" w:rsidRPr="0042152F">
        <w:rPr>
          <w:rFonts w:ascii="Times New Roman" w:hAnsi="Times New Roman" w:cs="Times New Roman"/>
          <w:sz w:val="24"/>
          <w:szCs w:val="24"/>
        </w:rPr>
        <w:t xml:space="preserve"> risk that the parties will end up with different views on the value of the entrepreneur’s business idea. Markets do not have any clear advantage in refereeing differences of opinion regarding the best strategy for a firm. And this makes sense, as idiosyncratic vision is one person’s subjective view of the best path forward that often runs counter to market consensus. These features make the value of a specific entrepreneur’s idiosyncratic vision difficult to ascertain</w:t>
      </w:r>
      <w:r w:rsidR="00AA595A" w:rsidRPr="0042152F">
        <w:rPr>
          <w:rFonts w:ascii="Times New Roman" w:hAnsi="Times New Roman" w:cs="Times New Roman"/>
          <w:sz w:val="24"/>
          <w:szCs w:val="24"/>
        </w:rPr>
        <w:t xml:space="preserve"> even at publicly traded companies</w:t>
      </w:r>
      <w:r w:rsidR="00F64FD9" w:rsidRPr="0042152F">
        <w:rPr>
          <w:rFonts w:ascii="Times New Roman" w:hAnsi="Times New Roman" w:cs="Times New Roman"/>
          <w:sz w:val="24"/>
          <w:szCs w:val="24"/>
        </w:rPr>
        <w:t>.</w:t>
      </w:r>
      <w:r w:rsidR="00F64FD9" w:rsidRPr="0042152F">
        <w:rPr>
          <w:rFonts w:ascii="Times New Roman" w:hAnsi="Times New Roman" w:cs="Times New Roman"/>
          <w:sz w:val="24"/>
          <w:szCs w:val="24"/>
          <w:vertAlign w:val="superscript"/>
        </w:rPr>
        <w:footnoteReference w:id="152"/>
      </w:r>
      <w:r w:rsidR="00F64FD9" w:rsidRPr="0042152F">
        <w:rPr>
          <w:rFonts w:ascii="Times New Roman" w:hAnsi="Times New Roman" w:cs="Times New Roman"/>
          <w:sz w:val="24"/>
          <w:szCs w:val="24"/>
        </w:rPr>
        <w:t xml:space="preserve"> </w:t>
      </w:r>
    </w:p>
    <w:p w14:paraId="0578AC8C" w14:textId="0AD790AA" w:rsidR="005D7295" w:rsidRPr="002A5C77" w:rsidRDefault="00851B70" w:rsidP="00B54C7C">
      <w:pPr>
        <w:pStyle w:val="Heading3"/>
        <w:spacing w:before="0" w:after="0"/>
        <w:ind w:firstLine="0"/>
        <w:rPr>
          <w:rFonts w:asciiTheme="majorBidi" w:hAnsiTheme="majorBidi" w:cstheme="majorBidi"/>
          <w:i w:val="0"/>
          <w:iCs w:val="0"/>
        </w:rPr>
      </w:pPr>
      <w:r>
        <w:tab/>
      </w:r>
      <w:r w:rsidR="00457D4B" w:rsidRPr="002A5C77">
        <w:rPr>
          <w:rFonts w:asciiTheme="majorBidi" w:hAnsiTheme="majorBidi" w:cstheme="majorBidi"/>
          <w:i w:val="0"/>
          <w:iCs w:val="0"/>
        </w:rPr>
        <w:t xml:space="preserve">To be sure, not all controller transactions will involve idiosyncratic vision. </w:t>
      </w:r>
      <w:r w:rsidR="0049390E" w:rsidRPr="002A5C77">
        <w:rPr>
          <w:rFonts w:asciiTheme="majorBidi" w:hAnsiTheme="majorBidi" w:cstheme="majorBidi"/>
          <w:i w:val="0"/>
          <w:iCs w:val="0"/>
        </w:rPr>
        <w:t xml:space="preserve">For instance, </w:t>
      </w:r>
      <w:r w:rsidR="006D767D" w:rsidRPr="002A5C77">
        <w:rPr>
          <w:rFonts w:asciiTheme="majorBidi" w:hAnsiTheme="majorBidi" w:cstheme="majorBidi"/>
          <w:i w:val="0"/>
          <w:iCs w:val="0"/>
        </w:rPr>
        <w:t>freezeout transactions</w:t>
      </w:r>
      <w:r w:rsidR="00060D32" w:rsidRPr="002A5C77">
        <w:rPr>
          <w:rFonts w:asciiTheme="majorBidi" w:hAnsiTheme="majorBidi" w:cstheme="majorBidi"/>
          <w:i w:val="0"/>
          <w:iCs w:val="0"/>
        </w:rPr>
        <w:t xml:space="preserve">—the area in which entire fairness </w:t>
      </w:r>
      <w:r w:rsidR="007C7004" w:rsidRPr="002A5C77">
        <w:rPr>
          <w:rFonts w:asciiTheme="majorBidi" w:hAnsiTheme="majorBidi" w:cstheme="majorBidi"/>
          <w:i w:val="0"/>
          <w:iCs w:val="0"/>
        </w:rPr>
        <w:t xml:space="preserve">and </w:t>
      </w:r>
      <w:r w:rsidR="007C7004" w:rsidRPr="00B26031">
        <w:rPr>
          <w:rFonts w:asciiTheme="majorBidi" w:hAnsiTheme="majorBidi" w:cstheme="majorBidi"/>
        </w:rPr>
        <w:t>MFW</w:t>
      </w:r>
      <w:r w:rsidR="007C7004" w:rsidRPr="002A5C77">
        <w:rPr>
          <w:rFonts w:asciiTheme="majorBidi" w:hAnsiTheme="majorBidi" w:cstheme="majorBidi"/>
          <w:i w:val="0"/>
          <w:iCs w:val="0"/>
        </w:rPr>
        <w:t xml:space="preserve"> cleansing emerged—</w:t>
      </w:r>
      <w:r w:rsidR="006D767D" w:rsidRPr="002A5C77">
        <w:rPr>
          <w:rFonts w:asciiTheme="majorBidi" w:hAnsiTheme="majorBidi" w:cstheme="majorBidi"/>
          <w:i w:val="0"/>
          <w:iCs w:val="0"/>
        </w:rPr>
        <w:t xml:space="preserve">or </w:t>
      </w:r>
      <w:r w:rsidR="0049390E" w:rsidRPr="002A5C77">
        <w:rPr>
          <w:rFonts w:asciiTheme="majorBidi" w:hAnsiTheme="majorBidi" w:cstheme="majorBidi"/>
          <w:i w:val="0"/>
          <w:iCs w:val="0"/>
        </w:rPr>
        <w:t xml:space="preserve">the sale of the company to a third party </w:t>
      </w:r>
      <w:r w:rsidR="00B26031">
        <w:rPr>
          <w:rFonts w:asciiTheme="majorBidi" w:hAnsiTheme="majorBidi" w:cstheme="majorBidi"/>
          <w:i w:val="0"/>
          <w:iCs w:val="0"/>
        </w:rPr>
        <w:t xml:space="preserve">are transactions that </w:t>
      </w:r>
      <w:r w:rsidR="0049390E" w:rsidRPr="002A5C77">
        <w:rPr>
          <w:rFonts w:asciiTheme="majorBidi" w:hAnsiTheme="majorBidi" w:cstheme="majorBidi"/>
          <w:i w:val="0"/>
          <w:iCs w:val="0"/>
        </w:rPr>
        <w:t>do not</w:t>
      </w:r>
      <w:r w:rsidR="007C7004" w:rsidRPr="002A5C77">
        <w:rPr>
          <w:rFonts w:asciiTheme="majorBidi" w:hAnsiTheme="majorBidi" w:cstheme="majorBidi"/>
          <w:i w:val="0"/>
          <w:iCs w:val="0"/>
        </w:rPr>
        <w:t xml:space="preserve"> </w:t>
      </w:r>
      <w:r w:rsidR="00B26031">
        <w:rPr>
          <w:rFonts w:asciiTheme="majorBidi" w:hAnsiTheme="majorBidi" w:cstheme="majorBidi"/>
          <w:i w:val="0"/>
          <w:iCs w:val="0"/>
        </w:rPr>
        <w:t>require</w:t>
      </w:r>
      <w:r w:rsidR="00BD7F2C">
        <w:rPr>
          <w:rFonts w:asciiTheme="majorBidi" w:hAnsiTheme="majorBidi" w:cstheme="majorBidi"/>
          <w:i w:val="0"/>
          <w:iCs w:val="0"/>
        </w:rPr>
        <w:t xml:space="preserve"> </w:t>
      </w:r>
      <w:r w:rsidR="00B26031">
        <w:rPr>
          <w:rFonts w:asciiTheme="majorBidi" w:hAnsiTheme="majorBidi" w:cstheme="majorBidi"/>
          <w:i w:val="0"/>
          <w:iCs w:val="0"/>
        </w:rPr>
        <w:t>an assessment of the</w:t>
      </w:r>
      <w:r w:rsidR="00BD7F2C">
        <w:rPr>
          <w:rFonts w:asciiTheme="majorBidi" w:hAnsiTheme="majorBidi" w:cstheme="majorBidi"/>
          <w:i w:val="0"/>
          <w:iCs w:val="0"/>
        </w:rPr>
        <w:t xml:space="preserve"> controller’s</w:t>
      </w:r>
      <w:r w:rsidR="00BD7F2C" w:rsidRPr="002A5C77">
        <w:rPr>
          <w:rFonts w:asciiTheme="majorBidi" w:hAnsiTheme="majorBidi" w:cstheme="majorBidi"/>
          <w:i w:val="0"/>
          <w:iCs w:val="0"/>
        </w:rPr>
        <w:t xml:space="preserve"> </w:t>
      </w:r>
      <w:r w:rsidR="00C72FCD" w:rsidRPr="002A5C77">
        <w:rPr>
          <w:rFonts w:asciiTheme="majorBidi" w:hAnsiTheme="majorBidi" w:cstheme="majorBidi"/>
          <w:i w:val="0"/>
          <w:iCs w:val="0"/>
        </w:rPr>
        <w:t>vision</w:t>
      </w:r>
      <w:r w:rsidR="0049390E" w:rsidRPr="002A5C77">
        <w:rPr>
          <w:rFonts w:asciiTheme="majorBidi" w:hAnsiTheme="majorBidi" w:cstheme="majorBidi"/>
          <w:i w:val="0"/>
          <w:iCs w:val="0"/>
        </w:rPr>
        <w:t xml:space="preserve">. </w:t>
      </w:r>
      <w:r w:rsidR="005A25CD" w:rsidRPr="002A5C77">
        <w:rPr>
          <w:rFonts w:asciiTheme="majorBidi" w:hAnsiTheme="majorBidi" w:cstheme="majorBidi"/>
          <w:i w:val="0"/>
          <w:iCs w:val="0"/>
        </w:rPr>
        <w:t>In a freezeout, the controller is proposing to buy the shares held by minority shareholders</w:t>
      </w:r>
      <w:r w:rsidR="00071014" w:rsidRPr="002A5C77">
        <w:rPr>
          <w:rFonts w:asciiTheme="majorBidi" w:hAnsiTheme="majorBidi" w:cstheme="majorBidi"/>
          <w:i w:val="0"/>
          <w:iCs w:val="0"/>
        </w:rPr>
        <w:t xml:space="preserve">. Since the freezeout ends the </w:t>
      </w:r>
      <w:r w:rsidR="005C4385" w:rsidRPr="002A5C77">
        <w:rPr>
          <w:rFonts w:asciiTheme="majorBidi" w:hAnsiTheme="majorBidi" w:cstheme="majorBidi"/>
          <w:i w:val="0"/>
          <w:iCs w:val="0"/>
        </w:rPr>
        <w:t>‘</w:t>
      </w:r>
      <w:r w:rsidR="00071014" w:rsidRPr="002A5C77">
        <w:rPr>
          <w:rFonts w:asciiTheme="majorBidi" w:hAnsiTheme="majorBidi" w:cstheme="majorBidi"/>
          <w:i w:val="0"/>
          <w:iCs w:val="0"/>
        </w:rPr>
        <w:t>partnership</w:t>
      </w:r>
      <w:r w:rsidR="005C4385" w:rsidRPr="002A5C77">
        <w:rPr>
          <w:rFonts w:asciiTheme="majorBidi" w:hAnsiTheme="majorBidi" w:cstheme="majorBidi"/>
          <w:i w:val="0"/>
          <w:iCs w:val="0"/>
        </w:rPr>
        <w:t>’</w:t>
      </w:r>
      <w:r w:rsidR="00071014" w:rsidRPr="002A5C77">
        <w:rPr>
          <w:rFonts w:asciiTheme="majorBidi" w:hAnsiTheme="majorBidi" w:cstheme="majorBidi"/>
          <w:i w:val="0"/>
          <w:iCs w:val="0"/>
        </w:rPr>
        <w:t xml:space="preserve"> with the minority, t</w:t>
      </w:r>
      <w:r w:rsidR="00A07713" w:rsidRPr="002A5C77">
        <w:rPr>
          <w:rFonts w:asciiTheme="majorBidi" w:hAnsiTheme="majorBidi" w:cstheme="majorBidi"/>
          <w:i w:val="0"/>
          <w:iCs w:val="0"/>
          <w:lang w:bidi="he-IL"/>
        </w:rPr>
        <w:t xml:space="preserve">he value of the transaction to minority shareholders does not depend on their assessment of the non-verifiable </w:t>
      </w:r>
      <w:r w:rsidR="00A07713" w:rsidRPr="00B26031">
        <w:rPr>
          <w:rFonts w:asciiTheme="majorBidi" w:hAnsiTheme="majorBidi" w:cstheme="majorBidi"/>
          <w:lang w:bidi="he-IL"/>
        </w:rPr>
        <w:t>future</w:t>
      </w:r>
      <w:r w:rsidR="00A07713" w:rsidRPr="002A5C77">
        <w:rPr>
          <w:rFonts w:asciiTheme="majorBidi" w:hAnsiTheme="majorBidi" w:cstheme="majorBidi"/>
          <w:i w:val="0"/>
          <w:iCs w:val="0"/>
          <w:lang w:bidi="he-IL"/>
        </w:rPr>
        <w:t xml:space="preserve"> value of the controller’s idiosyncratic vision.</w:t>
      </w:r>
      <w:r w:rsidR="00EC38CC" w:rsidRPr="002A5C77">
        <w:rPr>
          <w:rStyle w:val="FootnoteReference"/>
          <w:rFonts w:asciiTheme="majorBidi" w:hAnsiTheme="majorBidi" w:cstheme="majorBidi"/>
          <w:i w:val="0"/>
          <w:iCs w:val="0"/>
        </w:rPr>
        <w:footnoteReference w:id="153"/>
      </w:r>
      <w:r w:rsidR="00A07713" w:rsidRPr="002A5C77">
        <w:rPr>
          <w:rFonts w:asciiTheme="majorBidi" w:hAnsiTheme="majorBidi" w:cstheme="majorBidi"/>
          <w:i w:val="0"/>
          <w:iCs w:val="0"/>
        </w:rPr>
        <w:t xml:space="preserve"> </w:t>
      </w:r>
      <w:r w:rsidR="00071014" w:rsidRPr="002A5C77">
        <w:rPr>
          <w:rFonts w:asciiTheme="majorBidi" w:hAnsiTheme="majorBidi" w:cstheme="majorBidi"/>
          <w:i w:val="0"/>
          <w:iCs w:val="0"/>
        </w:rPr>
        <w:t>Similarly, w</w:t>
      </w:r>
      <w:r w:rsidR="00A07713" w:rsidRPr="002A5C77">
        <w:rPr>
          <w:rFonts w:asciiTheme="majorBidi" w:hAnsiTheme="majorBidi" w:cstheme="majorBidi"/>
          <w:i w:val="0"/>
          <w:iCs w:val="0"/>
        </w:rPr>
        <w:t>hen the company is sold</w:t>
      </w:r>
      <w:r w:rsidR="00C12D84" w:rsidRPr="002A5C77">
        <w:rPr>
          <w:rFonts w:asciiTheme="majorBidi" w:hAnsiTheme="majorBidi" w:cstheme="majorBidi"/>
          <w:i w:val="0"/>
          <w:iCs w:val="0"/>
        </w:rPr>
        <w:t xml:space="preserve"> to a third party</w:t>
      </w:r>
      <w:r w:rsidR="00A07713" w:rsidRPr="002A5C77">
        <w:rPr>
          <w:rFonts w:asciiTheme="majorBidi" w:hAnsiTheme="majorBidi" w:cstheme="majorBidi"/>
          <w:i w:val="0"/>
          <w:iCs w:val="0"/>
        </w:rPr>
        <w:t xml:space="preserve">, its value </w:t>
      </w:r>
      <w:r w:rsidR="00A07713" w:rsidRPr="002A5C77">
        <w:rPr>
          <w:rFonts w:asciiTheme="majorBidi" w:hAnsiTheme="majorBidi" w:cstheme="majorBidi"/>
          <w:i w:val="0"/>
          <w:iCs w:val="0"/>
        </w:rPr>
        <w:lastRenderedPageBreak/>
        <w:t>is determined by market participants through auctions, acceptable valuation methods, or average premiums paid for similar firms.</w:t>
      </w:r>
      <w:r w:rsidR="00C12D84" w:rsidRPr="002A5C77">
        <w:rPr>
          <w:rFonts w:asciiTheme="majorBidi" w:hAnsiTheme="majorBidi" w:cstheme="majorBidi"/>
          <w:i w:val="0"/>
          <w:iCs w:val="0"/>
        </w:rPr>
        <w:t xml:space="preserve"> </w:t>
      </w:r>
      <w:r w:rsidR="005A25CD" w:rsidRPr="002A5C77">
        <w:rPr>
          <w:rFonts w:asciiTheme="majorBidi" w:hAnsiTheme="majorBidi" w:cstheme="majorBidi"/>
          <w:i w:val="0"/>
          <w:iCs w:val="0"/>
        </w:rPr>
        <w:t xml:space="preserve">From the perspective of minority shareholders, </w:t>
      </w:r>
      <w:r w:rsidR="00912B23" w:rsidRPr="002A5C77">
        <w:rPr>
          <w:rFonts w:asciiTheme="majorBidi" w:hAnsiTheme="majorBidi" w:cstheme="majorBidi"/>
          <w:i w:val="0"/>
          <w:iCs w:val="0"/>
        </w:rPr>
        <w:t xml:space="preserve">the value of the proposed transaction </w:t>
      </w:r>
      <w:r w:rsidR="00727EB6" w:rsidRPr="002A5C77">
        <w:rPr>
          <w:rFonts w:asciiTheme="majorBidi" w:hAnsiTheme="majorBidi" w:cstheme="majorBidi"/>
          <w:i w:val="0"/>
          <w:iCs w:val="0"/>
        </w:rPr>
        <w:t xml:space="preserve">can be determined based on the acceptable methods for </w:t>
      </w:r>
      <w:r w:rsidR="003F3E0F" w:rsidRPr="002A5C77">
        <w:rPr>
          <w:rFonts w:asciiTheme="majorBidi" w:hAnsiTheme="majorBidi" w:cstheme="majorBidi"/>
          <w:i w:val="0"/>
          <w:iCs w:val="0"/>
        </w:rPr>
        <w:t>determining the value of shares,</w:t>
      </w:r>
      <w:r w:rsidR="00491E5D" w:rsidRPr="002A5C77">
        <w:rPr>
          <w:rFonts w:asciiTheme="majorBidi" w:hAnsiTheme="majorBidi" w:cstheme="majorBidi"/>
          <w:i w:val="0"/>
          <w:iCs w:val="0"/>
        </w:rPr>
        <w:t xml:space="preserve"> and the controller normally would not even attempt to justify the transaction by reference to its vision or unique </w:t>
      </w:r>
      <w:r w:rsidR="004A6D43" w:rsidRPr="002A5C77">
        <w:rPr>
          <w:rFonts w:asciiTheme="majorBidi" w:hAnsiTheme="majorBidi" w:cstheme="majorBidi"/>
          <w:i w:val="0"/>
          <w:iCs w:val="0"/>
        </w:rPr>
        <w:t>contribution to company value.</w:t>
      </w:r>
      <w:r w:rsidR="002A5C77">
        <w:rPr>
          <w:rFonts w:asciiTheme="majorBidi" w:hAnsiTheme="majorBidi" w:cstheme="majorBidi"/>
          <w:i w:val="0"/>
          <w:iCs w:val="0"/>
        </w:rPr>
        <w:t xml:space="preserve"> </w:t>
      </w:r>
      <w:r w:rsidR="004A6D43" w:rsidRPr="002A5C77">
        <w:rPr>
          <w:rFonts w:asciiTheme="majorBidi" w:hAnsiTheme="majorBidi" w:cstheme="majorBidi"/>
          <w:i w:val="0"/>
          <w:iCs w:val="0"/>
        </w:rPr>
        <w:t>Other self-dealing transactions</w:t>
      </w:r>
      <w:r w:rsidR="00C12D84" w:rsidRPr="002A5C77">
        <w:rPr>
          <w:rFonts w:asciiTheme="majorBidi" w:hAnsiTheme="majorBidi" w:cstheme="majorBidi"/>
          <w:i w:val="0"/>
          <w:iCs w:val="0"/>
        </w:rPr>
        <w:t>, in contrast,</w:t>
      </w:r>
      <w:r w:rsidR="004A6D43" w:rsidRPr="002A5C77">
        <w:rPr>
          <w:rFonts w:asciiTheme="majorBidi" w:hAnsiTheme="majorBidi" w:cstheme="majorBidi"/>
          <w:i w:val="0"/>
          <w:iCs w:val="0"/>
        </w:rPr>
        <w:t xml:space="preserve"> </w:t>
      </w:r>
      <w:r w:rsidR="007763A8" w:rsidRPr="002A5C77">
        <w:rPr>
          <w:rFonts w:asciiTheme="majorBidi" w:hAnsiTheme="majorBidi" w:cstheme="majorBidi"/>
          <w:i w:val="0"/>
          <w:iCs w:val="0"/>
        </w:rPr>
        <w:t xml:space="preserve">may involve the controller’s vision. </w:t>
      </w:r>
      <w:r w:rsidR="00C72FCD" w:rsidRPr="002A5C77">
        <w:rPr>
          <w:rFonts w:asciiTheme="majorBidi" w:hAnsiTheme="majorBidi" w:cstheme="majorBidi"/>
          <w:i w:val="0"/>
          <w:iCs w:val="0"/>
        </w:rPr>
        <w:t xml:space="preserve">Awarding compensation to </w:t>
      </w:r>
      <w:r w:rsidR="00790848" w:rsidRPr="002A5C77">
        <w:rPr>
          <w:rFonts w:asciiTheme="majorBidi" w:hAnsiTheme="majorBidi" w:cstheme="majorBidi"/>
          <w:i w:val="0"/>
          <w:iCs w:val="0"/>
        </w:rPr>
        <w:t xml:space="preserve">a controller-CEO, </w:t>
      </w:r>
      <w:r w:rsidR="007763A8" w:rsidRPr="002A5C77">
        <w:rPr>
          <w:rFonts w:asciiTheme="majorBidi" w:hAnsiTheme="majorBidi" w:cstheme="majorBidi"/>
          <w:i w:val="0"/>
          <w:iCs w:val="0"/>
        </w:rPr>
        <w:t xml:space="preserve">for example, </w:t>
      </w:r>
      <w:r w:rsidR="00DC7F39" w:rsidRPr="002A5C77">
        <w:rPr>
          <w:rFonts w:asciiTheme="majorBidi" w:hAnsiTheme="majorBidi" w:cstheme="majorBidi"/>
          <w:i w:val="0"/>
          <w:iCs w:val="0"/>
        </w:rPr>
        <w:t>require</w:t>
      </w:r>
      <w:r w:rsidR="007763A8" w:rsidRPr="002A5C77">
        <w:rPr>
          <w:rFonts w:asciiTheme="majorBidi" w:hAnsiTheme="majorBidi" w:cstheme="majorBidi"/>
          <w:i w:val="0"/>
          <w:iCs w:val="0"/>
        </w:rPr>
        <w:t>s</w:t>
      </w:r>
      <w:r w:rsidR="00DC7F39" w:rsidRPr="002A5C77">
        <w:rPr>
          <w:rFonts w:asciiTheme="majorBidi" w:hAnsiTheme="majorBidi" w:cstheme="majorBidi"/>
          <w:i w:val="0"/>
          <w:iCs w:val="0"/>
        </w:rPr>
        <w:t xml:space="preserve"> the board and shareholders to assess the value of the controller’s vision</w:t>
      </w:r>
      <w:r w:rsidR="00BD37E1" w:rsidRPr="002A5C77">
        <w:rPr>
          <w:rFonts w:asciiTheme="majorBidi" w:hAnsiTheme="majorBidi" w:cstheme="majorBidi"/>
          <w:i w:val="0"/>
          <w:iCs w:val="0"/>
        </w:rPr>
        <w:t xml:space="preserve"> and determine whether it justifies the proposed pay</w:t>
      </w:r>
      <w:r w:rsidR="00DC7F39" w:rsidRPr="002A5C77">
        <w:rPr>
          <w:rFonts w:asciiTheme="majorBidi" w:hAnsiTheme="majorBidi" w:cstheme="majorBidi"/>
          <w:i w:val="0"/>
          <w:iCs w:val="0"/>
        </w:rPr>
        <w:t>.</w:t>
      </w:r>
      <w:r w:rsidR="003170A4">
        <w:rPr>
          <w:rStyle w:val="FootnoteReference"/>
          <w:rFonts w:asciiTheme="majorBidi" w:hAnsiTheme="majorBidi" w:cstheme="majorBidi"/>
          <w:i w:val="0"/>
          <w:iCs w:val="0"/>
        </w:rPr>
        <w:footnoteReference w:id="154"/>
      </w:r>
      <w:r w:rsidR="00DC7F39" w:rsidRPr="002A5C77">
        <w:rPr>
          <w:rFonts w:asciiTheme="majorBidi" w:hAnsiTheme="majorBidi" w:cstheme="majorBidi"/>
          <w:i w:val="0"/>
          <w:iCs w:val="0"/>
        </w:rPr>
        <w:t xml:space="preserve"> </w:t>
      </w:r>
    </w:p>
    <w:p w14:paraId="4CCFA60B" w14:textId="00590517" w:rsidR="005516A4" w:rsidRPr="002A5C77" w:rsidRDefault="00462D66" w:rsidP="002E3243">
      <w:pPr>
        <w:pStyle w:val="Heading3"/>
        <w:spacing w:before="0"/>
        <w:ind w:firstLine="0"/>
        <w:rPr>
          <w:rFonts w:asciiTheme="majorBidi" w:hAnsiTheme="majorBidi" w:cstheme="majorBidi"/>
          <w:i w:val="0"/>
          <w:iCs w:val="0"/>
        </w:rPr>
      </w:pPr>
      <w:r w:rsidRPr="002A5C77">
        <w:rPr>
          <w:rFonts w:asciiTheme="majorBidi" w:hAnsiTheme="majorBidi" w:cstheme="majorBidi"/>
          <w:i w:val="0"/>
          <w:iCs w:val="0"/>
        </w:rPr>
        <w:tab/>
      </w:r>
      <w:r w:rsidR="00776EBC" w:rsidRPr="002A5C77">
        <w:rPr>
          <w:rFonts w:asciiTheme="majorBidi" w:hAnsiTheme="majorBidi" w:cstheme="majorBidi"/>
          <w:i w:val="0"/>
          <w:iCs w:val="0"/>
        </w:rPr>
        <w:t xml:space="preserve">We do not intend to offer a </w:t>
      </w:r>
      <w:r w:rsidR="003412E6" w:rsidRPr="002A5C77">
        <w:rPr>
          <w:rFonts w:asciiTheme="majorBidi" w:hAnsiTheme="majorBidi" w:cstheme="majorBidi"/>
          <w:i w:val="0"/>
          <w:iCs w:val="0"/>
        </w:rPr>
        <w:t xml:space="preserve">legal </w:t>
      </w:r>
      <w:r w:rsidR="00776EBC" w:rsidRPr="002A5C77">
        <w:rPr>
          <w:rFonts w:asciiTheme="majorBidi" w:hAnsiTheme="majorBidi" w:cstheme="majorBidi"/>
          <w:i w:val="0"/>
          <w:iCs w:val="0"/>
        </w:rPr>
        <w:t xml:space="preserve">test that would </w:t>
      </w:r>
      <w:r w:rsidR="00DD4DE9" w:rsidRPr="002A5C77">
        <w:rPr>
          <w:rFonts w:asciiTheme="majorBidi" w:hAnsiTheme="majorBidi" w:cstheme="majorBidi"/>
          <w:i w:val="0"/>
          <w:iCs w:val="0"/>
        </w:rPr>
        <w:t xml:space="preserve">identify those self-dealing transactions that </w:t>
      </w:r>
      <w:r w:rsidR="005D4629" w:rsidRPr="002A5C77">
        <w:rPr>
          <w:rFonts w:asciiTheme="majorBidi" w:hAnsiTheme="majorBidi" w:cstheme="majorBidi"/>
          <w:i w:val="0"/>
          <w:iCs w:val="0"/>
        </w:rPr>
        <w:t>involve vision</w:t>
      </w:r>
      <w:r w:rsidR="00EB3A94" w:rsidRPr="002A5C77">
        <w:rPr>
          <w:rFonts w:asciiTheme="majorBidi" w:hAnsiTheme="majorBidi" w:cstheme="majorBidi"/>
          <w:i w:val="0"/>
          <w:iCs w:val="0"/>
        </w:rPr>
        <w:t xml:space="preserve">. </w:t>
      </w:r>
      <w:r w:rsidR="0006525D" w:rsidRPr="002A5C77">
        <w:rPr>
          <w:rFonts w:asciiTheme="majorBidi" w:hAnsiTheme="majorBidi" w:cstheme="majorBidi"/>
          <w:i w:val="0"/>
          <w:iCs w:val="0"/>
        </w:rPr>
        <w:t>While t</w:t>
      </w:r>
      <w:r w:rsidR="00C7366E" w:rsidRPr="002A5C77">
        <w:rPr>
          <w:rFonts w:asciiTheme="majorBidi" w:hAnsiTheme="majorBidi" w:cstheme="majorBidi"/>
          <w:i w:val="0"/>
          <w:iCs w:val="0"/>
        </w:rPr>
        <w:t>he shortcoming</w:t>
      </w:r>
      <w:r w:rsidR="003412E6" w:rsidRPr="002A5C77">
        <w:rPr>
          <w:rFonts w:asciiTheme="majorBidi" w:hAnsiTheme="majorBidi" w:cstheme="majorBidi"/>
          <w:i w:val="0"/>
          <w:iCs w:val="0"/>
        </w:rPr>
        <w:t>s</w:t>
      </w:r>
      <w:r w:rsidR="00C7366E" w:rsidRPr="002A5C77">
        <w:rPr>
          <w:rFonts w:asciiTheme="majorBidi" w:hAnsiTheme="majorBidi" w:cstheme="majorBidi"/>
          <w:i w:val="0"/>
          <w:iCs w:val="0"/>
        </w:rPr>
        <w:t xml:space="preserve"> </w:t>
      </w:r>
      <w:r w:rsidR="0006525D" w:rsidRPr="002A5C77">
        <w:rPr>
          <w:rFonts w:asciiTheme="majorBidi" w:hAnsiTheme="majorBidi" w:cstheme="majorBidi"/>
          <w:i w:val="0"/>
          <w:iCs w:val="0"/>
        </w:rPr>
        <w:t xml:space="preserve">that </w:t>
      </w:r>
      <w:r w:rsidR="00C7366E" w:rsidRPr="002A5C77">
        <w:rPr>
          <w:rFonts w:asciiTheme="majorBidi" w:hAnsiTheme="majorBidi" w:cstheme="majorBidi"/>
          <w:i w:val="0"/>
          <w:iCs w:val="0"/>
        </w:rPr>
        <w:t xml:space="preserve">we identify </w:t>
      </w:r>
      <w:r w:rsidR="0006525D" w:rsidRPr="002A5C77">
        <w:rPr>
          <w:rFonts w:asciiTheme="majorBidi" w:hAnsiTheme="majorBidi" w:cstheme="majorBidi"/>
          <w:i w:val="0"/>
          <w:iCs w:val="0"/>
        </w:rPr>
        <w:t xml:space="preserve">in the MFW framework may </w:t>
      </w:r>
      <w:r w:rsidR="00B963B6" w:rsidRPr="002A5C77">
        <w:rPr>
          <w:rFonts w:asciiTheme="majorBidi" w:hAnsiTheme="majorBidi" w:cstheme="majorBidi"/>
          <w:i w:val="0"/>
          <w:iCs w:val="0"/>
        </w:rPr>
        <w:t xml:space="preserve">be especially troublesome for </w:t>
      </w:r>
      <w:r w:rsidR="008C00B4" w:rsidRPr="002A5C77">
        <w:rPr>
          <w:rFonts w:asciiTheme="majorBidi" w:hAnsiTheme="majorBidi" w:cstheme="majorBidi"/>
          <w:i w:val="0"/>
          <w:iCs w:val="0"/>
        </w:rPr>
        <w:t>such transactions</w:t>
      </w:r>
      <w:r w:rsidR="00B963B6" w:rsidRPr="002A5C77">
        <w:rPr>
          <w:rFonts w:asciiTheme="majorBidi" w:hAnsiTheme="majorBidi" w:cstheme="majorBidi"/>
          <w:i w:val="0"/>
          <w:iCs w:val="0"/>
        </w:rPr>
        <w:t xml:space="preserve">, </w:t>
      </w:r>
      <w:r w:rsidR="004231A6" w:rsidRPr="002A5C77">
        <w:rPr>
          <w:rFonts w:asciiTheme="majorBidi" w:hAnsiTheme="majorBidi" w:cstheme="majorBidi"/>
          <w:i w:val="0"/>
          <w:iCs w:val="0"/>
        </w:rPr>
        <w:t xml:space="preserve">these shortcomings affect other </w:t>
      </w:r>
      <w:r w:rsidR="00A50B00" w:rsidRPr="002A5C77">
        <w:rPr>
          <w:rFonts w:asciiTheme="majorBidi" w:hAnsiTheme="majorBidi" w:cstheme="majorBidi"/>
          <w:i w:val="0"/>
          <w:iCs w:val="0"/>
        </w:rPr>
        <w:t xml:space="preserve">types of </w:t>
      </w:r>
      <w:r w:rsidR="003412E6" w:rsidRPr="002A5C77">
        <w:rPr>
          <w:rFonts w:asciiTheme="majorBidi" w:hAnsiTheme="majorBidi" w:cstheme="majorBidi"/>
          <w:i w:val="0"/>
          <w:iCs w:val="0"/>
        </w:rPr>
        <w:t xml:space="preserve">self-dealing </w:t>
      </w:r>
      <w:r w:rsidR="004231A6" w:rsidRPr="002A5C77">
        <w:rPr>
          <w:rFonts w:asciiTheme="majorBidi" w:hAnsiTheme="majorBidi" w:cstheme="majorBidi"/>
          <w:i w:val="0"/>
          <w:iCs w:val="0"/>
        </w:rPr>
        <w:t>transactions as well</w:t>
      </w:r>
      <w:r w:rsidR="00062599" w:rsidRPr="002A5C77">
        <w:rPr>
          <w:rFonts w:asciiTheme="majorBidi" w:hAnsiTheme="majorBidi" w:cstheme="majorBidi"/>
          <w:i w:val="0"/>
          <w:iCs w:val="0"/>
        </w:rPr>
        <w:t xml:space="preserve">. Our proposals, therefore, </w:t>
      </w:r>
      <w:r w:rsidR="00B45EE9">
        <w:rPr>
          <w:rFonts w:asciiTheme="majorBidi" w:hAnsiTheme="majorBidi" w:cstheme="majorBidi"/>
          <w:i w:val="0"/>
          <w:iCs w:val="0"/>
        </w:rPr>
        <w:t>should appl</w:t>
      </w:r>
      <w:r w:rsidR="000E24B4">
        <w:rPr>
          <w:rFonts w:asciiTheme="majorBidi" w:hAnsiTheme="majorBidi" w:cstheme="majorBidi"/>
          <w:i w:val="0"/>
          <w:iCs w:val="0"/>
        </w:rPr>
        <w:t xml:space="preserve">y to </w:t>
      </w:r>
      <w:r w:rsidR="00062599" w:rsidRPr="002A5C77">
        <w:rPr>
          <w:rFonts w:asciiTheme="majorBidi" w:hAnsiTheme="majorBidi" w:cstheme="majorBidi"/>
          <w:i w:val="0"/>
          <w:iCs w:val="0"/>
        </w:rPr>
        <w:t>all ty</w:t>
      </w:r>
      <w:r w:rsidR="0097650F" w:rsidRPr="002A5C77">
        <w:rPr>
          <w:rFonts w:asciiTheme="majorBidi" w:hAnsiTheme="majorBidi" w:cstheme="majorBidi"/>
          <w:i w:val="0"/>
          <w:iCs w:val="0"/>
        </w:rPr>
        <w:t xml:space="preserve">pes of self-dealing transactions </w:t>
      </w:r>
      <w:r w:rsidR="000E24B4">
        <w:rPr>
          <w:rFonts w:asciiTheme="majorBidi" w:hAnsiTheme="majorBidi" w:cstheme="majorBidi"/>
          <w:i w:val="0"/>
          <w:iCs w:val="0"/>
        </w:rPr>
        <w:t xml:space="preserve">and they </w:t>
      </w:r>
      <w:r w:rsidR="000E24B4" w:rsidRPr="002A5C77">
        <w:rPr>
          <w:rFonts w:asciiTheme="majorBidi" w:hAnsiTheme="majorBidi" w:cstheme="majorBidi"/>
          <w:i w:val="0"/>
          <w:iCs w:val="0"/>
        </w:rPr>
        <w:t xml:space="preserve">will improve the regulation of </w:t>
      </w:r>
      <w:r w:rsidR="000E24B4">
        <w:rPr>
          <w:rFonts w:asciiTheme="majorBidi" w:hAnsiTheme="majorBidi" w:cstheme="majorBidi"/>
          <w:i w:val="0"/>
          <w:iCs w:val="0"/>
        </w:rPr>
        <w:t xml:space="preserve">these transactions </w:t>
      </w:r>
      <w:r w:rsidR="0097650F" w:rsidRPr="002A5C77">
        <w:rPr>
          <w:rFonts w:asciiTheme="majorBidi" w:hAnsiTheme="majorBidi" w:cstheme="majorBidi"/>
          <w:i w:val="0"/>
          <w:iCs w:val="0"/>
        </w:rPr>
        <w:t xml:space="preserve">without the need for courts </w:t>
      </w:r>
      <w:r w:rsidR="007620EF" w:rsidRPr="002A5C77">
        <w:rPr>
          <w:rFonts w:asciiTheme="majorBidi" w:hAnsiTheme="majorBidi" w:cstheme="majorBidi"/>
          <w:i w:val="0"/>
          <w:iCs w:val="0"/>
        </w:rPr>
        <w:t xml:space="preserve">to </w:t>
      </w:r>
      <w:r w:rsidR="00F011D5">
        <w:rPr>
          <w:rFonts w:asciiTheme="majorBidi" w:hAnsiTheme="majorBidi" w:cstheme="majorBidi"/>
          <w:i w:val="0"/>
          <w:iCs w:val="0"/>
        </w:rPr>
        <w:t>identify which</w:t>
      </w:r>
      <w:r w:rsidR="00E2344A" w:rsidRPr="002A5C77">
        <w:rPr>
          <w:rFonts w:asciiTheme="majorBidi" w:hAnsiTheme="majorBidi" w:cstheme="majorBidi"/>
          <w:i w:val="0"/>
          <w:iCs w:val="0"/>
        </w:rPr>
        <w:t xml:space="preserve"> </w:t>
      </w:r>
      <w:r w:rsidR="00F011D5">
        <w:rPr>
          <w:rFonts w:asciiTheme="majorBidi" w:hAnsiTheme="majorBidi" w:cstheme="majorBidi"/>
          <w:i w:val="0"/>
          <w:iCs w:val="0"/>
        </w:rPr>
        <w:t xml:space="preserve">self-dealing transactions involve </w:t>
      </w:r>
      <w:r w:rsidR="00B26031">
        <w:rPr>
          <w:rFonts w:asciiTheme="majorBidi" w:hAnsiTheme="majorBidi" w:cstheme="majorBidi"/>
          <w:i w:val="0"/>
          <w:iCs w:val="0"/>
        </w:rPr>
        <w:t>a</w:t>
      </w:r>
      <w:r w:rsidR="00F011D5">
        <w:rPr>
          <w:rFonts w:asciiTheme="majorBidi" w:hAnsiTheme="majorBidi" w:cstheme="majorBidi"/>
          <w:i w:val="0"/>
          <w:iCs w:val="0"/>
        </w:rPr>
        <w:t xml:space="preserve"> controller’s vision</w:t>
      </w:r>
      <w:r w:rsidR="007620EF" w:rsidRPr="002A5C77">
        <w:rPr>
          <w:rFonts w:asciiTheme="majorBidi" w:hAnsiTheme="majorBidi" w:cstheme="majorBidi"/>
          <w:i w:val="0"/>
          <w:iCs w:val="0"/>
        </w:rPr>
        <w:t xml:space="preserve">. </w:t>
      </w:r>
    </w:p>
    <w:p w14:paraId="70C0C5C2" w14:textId="75DB1EB1" w:rsidR="002159F0" w:rsidRPr="0042152F" w:rsidRDefault="00A27A05" w:rsidP="0093507C">
      <w:pPr>
        <w:pStyle w:val="Heading2"/>
        <w:spacing w:before="0" w:line="360" w:lineRule="auto"/>
      </w:pPr>
      <w:bookmarkStart w:id="16" w:name="_Toc181789840"/>
      <w:r w:rsidRPr="0042152F">
        <w:t xml:space="preserve">B. </w:t>
      </w:r>
      <w:r w:rsidR="0016584D" w:rsidRPr="0042152F">
        <w:t xml:space="preserve">Judicial </w:t>
      </w:r>
      <w:r w:rsidR="00720626" w:rsidRPr="0042152F">
        <w:t>Valuation as Part of Entire Fairness Review</w:t>
      </w:r>
      <w:bookmarkEnd w:id="16"/>
    </w:p>
    <w:p w14:paraId="5F21FDB5" w14:textId="13B411FD" w:rsidR="005C22D3" w:rsidRDefault="00F64FD9" w:rsidP="002E3243">
      <w:pPr>
        <w:spacing w:after="120" w:line="360" w:lineRule="auto"/>
        <w:ind w:firstLine="720"/>
        <w:jc w:val="both"/>
        <w:rPr>
          <w:rFonts w:ascii="Times New Roman" w:hAnsi="Times New Roman" w:cs="Times New Roman"/>
          <w:sz w:val="24"/>
          <w:szCs w:val="24"/>
        </w:rPr>
      </w:pPr>
      <w:r w:rsidRPr="0042152F">
        <w:rPr>
          <w:rFonts w:ascii="Times New Roman" w:eastAsia="NewBaskervilleITCPro-Roman" w:hAnsi="Times New Roman" w:cs="Times New Roman"/>
          <w:kern w:val="0"/>
          <w:sz w:val="24"/>
          <w:szCs w:val="24"/>
        </w:rPr>
        <w:t xml:space="preserve">The impossibility of predictably and reliably valuing idiosyncratic vision </w:t>
      </w:r>
      <w:r w:rsidR="00793310" w:rsidRPr="0042152F">
        <w:rPr>
          <w:rFonts w:ascii="Times New Roman" w:eastAsia="NewBaskervilleITCPro-Roman" w:hAnsi="Times New Roman" w:cs="Times New Roman"/>
          <w:kern w:val="0"/>
          <w:sz w:val="24"/>
          <w:szCs w:val="24"/>
        </w:rPr>
        <w:t>complicates</w:t>
      </w:r>
      <w:r w:rsidRPr="0042152F">
        <w:rPr>
          <w:rFonts w:ascii="Times New Roman" w:eastAsia="NewBaskervilleITCPro-Roman" w:hAnsi="Times New Roman" w:cs="Times New Roman"/>
          <w:kern w:val="0"/>
          <w:sz w:val="24"/>
          <w:szCs w:val="24"/>
        </w:rPr>
        <w:t xml:space="preserve"> </w:t>
      </w:r>
      <w:r w:rsidR="00CB740A" w:rsidRPr="0042152F">
        <w:rPr>
          <w:rFonts w:ascii="Times New Roman" w:eastAsia="NewBaskervilleITCPro-Roman" w:hAnsi="Times New Roman" w:cs="Times New Roman"/>
          <w:kern w:val="0"/>
          <w:sz w:val="24"/>
          <w:szCs w:val="24"/>
        </w:rPr>
        <w:t xml:space="preserve">the most demanding standard of review under </w:t>
      </w:r>
      <w:r w:rsidRPr="0042152F">
        <w:rPr>
          <w:rFonts w:ascii="Times New Roman" w:eastAsia="NewBaskervilleITCPro-Roman" w:hAnsi="Times New Roman" w:cs="Times New Roman"/>
          <w:kern w:val="0"/>
          <w:sz w:val="24"/>
          <w:szCs w:val="24"/>
        </w:rPr>
        <w:t xml:space="preserve">Delaware law: entire fairness. </w:t>
      </w:r>
      <w:r w:rsidR="001638F6" w:rsidRPr="0042152F">
        <w:rPr>
          <w:rFonts w:ascii="Times New Roman" w:eastAsia="NewBaskervilleITCPro-Roman" w:hAnsi="Times New Roman" w:cs="Times New Roman"/>
          <w:kern w:val="0"/>
          <w:sz w:val="24"/>
          <w:szCs w:val="24"/>
        </w:rPr>
        <w:t>As discussed in the previous Part, Delaware courts police the fairness of controller transactions to</w:t>
      </w:r>
      <w:r w:rsidRPr="0042152F">
        <w:rPr>
          <w:rFonts w:ascii="Times New Roman" w:eastAsia="NewBaskervilleITCPro-Roman" w:hAnsi="Times New Roman" w:cs="Times New Roman"/>
          <w:kern w:val="0"/>
          <w:sz w:val="24"/>
          <w:szCs w:val="24"/>
        </w:rPr>
        <w:t xml:space="preserve"> protect investors from opportunistic self-dealing by controlling shareholder</w:t>
      </w:r>
      <w:r w:rsidR="001638F6" w:rsidRPr="0042152F">
        <w:rPr>
          <w:rFonts w:ascii="Times New Roman" w:eastAsia="NewBaskervilleITCPro-Roman" w:hAnsi="Times New Roman" w:cs="Times New Roman"/>
          <w:kern w:val="0"/>
          <w:sz w:val="24"/>
          <w:szCs w:val="24"/>
        </w:rPr>
        <w:t>s</w:t>
      </w:r>
      <w:r w:rsidRPr="0042152F">
        <w:rPr>
          <w:rFonts w:ascii="Times New Roman" w:eastAsia="NewBaskervilleITCPro-Roman" w:hAnsi="Times New Roman" w:cs="Times New Roman"/>
          <w:kern w:val="0"/>
          <w:sz w:val="24"/>
          <w:szCs w:val="24"/>
        </w:rPr>
        <w:t>.</w:t>
      </w:r>
      <w:r w:rsidRPr="0042152F">
        <w:rPr>
          <w:rFonts w:ascii="Times New Roman" w:eastAsia="NewBaskervilleITCPro-Roman" w:hAnsi="Times New Roman" w:cs="Times New Roman"/>
          <w:kern w:val="0"/>
          <w:sz w:val="24"/>
          <w:szCs w:val="24"/>
          <w:vertAlign w:val="superscript"/>
        </w:rPr>
        <w:footnoteReference w:id="155"/>
      </w:r>
      <w:r w:rsidR="001638F6" w:rsidRPr="0042152F">
        <w:rPr>
          <w:rFonts w:ascii="Times New Roman" w:eastAsia="NewBaskervilleITCPro-Roman" w:hAnsi="Times New Roman" w:cs="Times New Roman"/>
          <w:kern w:val="0"/>
          <w:sz w:val="24"/>
          <w:szCs w:val="24"/>
        </w:rPr>
        <w:t xml:space="preserve"> Delaware will engage in a review of the transaction’s price as well as the process that led to it, unless two procedural cleansing mechanisms—</w:t>
      </w:r>
      <w:r w:rsidR="00B07AC0" w:rsidRPr="0042152F">
        <w:rPr>
          <w:rFonts w:ascii="Times New Roman" w:eastAsia="NewBaskervilleITCPro-Roman" w:hAnsi="Times New Roman" w:cs="Times New Roman"/>
          <w:kern w:val="0"/>
          <w:sz w:val="24"/>
          <w:szCs w:val="24"/>
        </w:rPr>
        <w:t xml:space="preserve">a special committee and </w:t>
      </w:r>
      <w:r w:rsidR="0097706E">
        <w:rPr>
          <w:rFonts w:ascii="Times New Roman" w:eastAsia="NewBaskervilleITCPro-Roman" w:hAnsi="Times New Roman" w:cs="Times New Roman"/>
          <w:kern w:val="0"/>
          <w:sz w:val="24"/>
          <w:szCs w:val="24"/>
        </w:rPr>
        <w:t xml:space="preserve">majority of </w:t>
      </w:r>
      <w:r w:rsidR="001638F6" w:rsidRPr="0042152F">
        <w:rPr>
          <w:rFonts w:ascii="Times New Roman" w:eastAsia="NewBaskervilleITCPro-Roman" w:hAnsi="Times New Roman" w:cs="Times New Roman"/>
          <w:kern w:val="0"/>
          <w:sz w:val="24"/>
          <w:szCs w:val="24"/>
        </w:rPr>
        <w:t>minority shareholder approval—are employed.</w:t>
      </w:r>
      <w:r w:rsidRPr="0042152F">
        <w:rPr>
          <w:rFonts w:ascii="Times New Roman" w:eastAsia="NewBaskervilleITCPro-Roman" w:hAnsi="Times New Roman" w:cs="Times New Roman"/>
          <w:kern w:val="0"/>
          <w:sz w:val="24"/>
          <w:szCs w:val="24"/>
          <w:vertAlign w:val="superscript"/>
        </w:rPr>
        <w:footnoteReference w:id="156"/>
      </w:r>
      <w:r w:rsidRPr="0042152F">
        <w:rPr>
          <w:rFonts w:ascii="Times New Roman" w:eastAsia="NewBaskervilleITCPro-Roman" w:hAnsi="Times New Roman" w:cs="Times New Roman"/>
          <w:kern w:val="0"/>
          <w:sz w:val="24"/>
          <w:szCs w:val="24"/>
        </w:rPr>
        <w:t xml:space="preserve"> </w:t>
      </w:r>
      <w:r w:rsidR="005C22D3" w:rsidRPr="0042152F">
        <w:rPr>
          <w:rFonts w:ascii="Times New Roman" w:eastAsia="NewBaskervilleITCPro-Roman" w:hAnsi="Times New Roman" w:cs="Times New Roman"/>
          <w:kern w:val="0"/>
          <w:sz w:val="24"/>
          <w:szCs w:val="24"/>
        </w:rPr>
        <w:t xml:space="preserve">In this Section, we </w:t>
      </w:r>
      <w:r w:rsidR="002B3341" w:rsidRPr="0042152F">
        <w:rPr>
          <w:rFonts w:ascii="Times New Roman" w:eastAsia="NewBaskervilleITCPro-Roman" w:hAnsi="Times New Roman" w:cs="Times New Roman"/>
          <w:kern w:val="0"/>
          <w:sz w:val="24"/>
          <w:szCs w:val="24"/>
        </w:rPr>
        <w:t xml:space="preserve">highlight </w:t>
      </w:r>
      <w:r w:rsidR="0016584D" w:rsidRPr="0042152F">
        <w:rPr>
          <w:rFonts w:ascii="Times New Roman" w:eastAsia="NewBaskervilleITCPro-Roman" w:hAnsi="Times New Roman" w:cs="Times New Roman"/>
          <w:kern w:val="0"/>
          <w:sz w:val="24"/>
          <w:szCs w:val="24"/>
        </w:rPr>
        <w:t>the difficulties of conducting judicial valuation under entire fairness review</w:t>
      </w:r>
      <w:r w:rsidR="00720626" w:rsidRPr="0042152F">
        <w:rPr>
          <w:rFonts w:ascii="Times New Roman" w:eastAsia="NewBaskervilleITCPro-Roman" w:hAnsi="Times New Roman" w:cs="Times New Roman"/>
          <w:kern w:val="0"/>
          <w:sz w:val="24"/>
          <w:szCs w:val="24"/>
        </w:rPr>
        <w:t xml:space="preserve"> when idiosyncratic vision is at stake</w:t>
      </w:r>
      <w:r w:rsidR="005609C9" w:rsidRPr="0042152F">
        <w:rPr>
          <w:rFonts w:ascii="Times New Roman" w:eastAsia="NewBaskervilleITCPro-Roman" w:hAnsi="Times New Roman" w:cs="Times New Roman"/>
          <w:kern w:val="0"/>
          <w:sz w:val="24"/>
          <w:szCs w:val="24"/>
        </w:rPr>
        <w:t xml:space="preserve">. We use two cases, </w:t>
      </w:r>
      <w:r w:rsidR="00720626" w:rsidRPr="0042152F">
        <w:rPr>
          <w:rFonts w:ascii="Times New Roman" w:hAnsi="Times New Roman" w:cs="Times New Roman"/>
          <w:i/>
          <w:iCs/>
          <w:sz w:val="24"/>
          <w:szCs w:val="24"/>
        </w:rPr>
        <w:t>Tornetta v. Musk</w:t>
      </w:r>
      <w:r w:rsidR="00720626" w:rsidRPr="0042152F">
        <w:rPr>
          <w:rFonts w:ascii="Times New Roman" w:hAnsi="Times New Roman" w:cs="Times New Roman"/>
          <w:sz w:val="24"/>
          <w:szCs w:val="24"/>
        </w:rPr>
        <w:t xml:space="preserve"> </w:t>
      </w:r>
      <w:r w:rsidR="00720626" w:rsidRPr="0042152F">
        <w:rPr>
          <w:rFonts w:ascii="Times New Roman" w:hAnsi="Times New Roman" w:cs="Times New Roman"/>
          <w:sz w:val="24"/>
          <w:szCs w:val="24"/>
        </w:rPr>
        <w:lastRenderedPageBreak/>
        <w:t xml:space="preserve">and </w:t>
      </w:r>
      <w:proofErr w:type="gramStart"/>
      <w:r w:rsidR="00720626" w:rsidRPr="0042152F">
        <w:rPr>
          <w:rFonts w:ascii="Times New Roman" w:hAnsi="Times New Roman" w:cs="Times New Roman"/>
          <w:i/>
          <w:iCs/>
          <w:sz w:val="24"/>
          <w:szCs w:val="24"/>
        </w:rPr>
        <w:t>In</w:t>
      </w:r>
      <w:proofErr w:type="gramEnd"/>
      <w:r w:rsidR="00720626" w:rsidRPr="0042152F">
        <w:rPr>
          <w:rFonts w:ascii="Times New Roman" w:hAnsi="Times New Roman" w:cs="Times New Roman"/>
          <w:i/>
          <w:iCs/>
          <w:sz w:val="24"/>
          <w:szCs w:val="24"/>
        </w:rPr>
        <w:t xml:space="preserve"> re Tesla Shareholders Litigation</w:t>
      </w:r>
      <w:r w:rsidR="005609C9" w:rsidRPr="0042152F">
        <w:rPr>
          <w:rFonts w:ascii="Times New Roman" w:hAnsi="Times New Roman" w:cs="Times New Roman"/>
          <w:i/>
          <w:iCs/>
          <w:sz w:val="24"/>
          <w:szCs w:val="24"/>
        </w:rPr>
        <w:t xml:space="preserve">, </w:t>
      </w:r>
      <w:r w:rsidR="00720626" w:rsidRPr="0042152F">
        <w:rPr>
          <w:rFonts w:ascii="Times New Roman" w:hAnsi="Times New Roman" w:cs="Times New Roman"/>
          <w:sz w:val="24"/>
          <w:szCs w:val="24"/>
        </w:rPr>
        <w:t>as illustrative examples. To preview</w:t>
      </w:r>
      <w:r w:rsidR="005609C9" w:rsidRPr="0042152F">
        <w:rPr>
          <w:rFonts w:ascii="Times New Roman" w:hAnsi="Times New Roman" w:cs="Times New Roman"/>
          <w:sz w:val="24"/>
          <w:szCs w:val="24"/>
        </w:rPr>
        <w:t xml:space="preserve"> our analysis</w:t>
      </w:r>
      <w:r w:rsidR="00720626" w:rsidRPr="0042152F">
        <w:rPr>
          <w:rFonts w:ascii="Times New Roman" w:hAnsi="Times New Roman" w:cs="Times New Roman"/>
          <w:sz w:val="24"/>
          <w:szCs w:val="24"/>
        </w:rPr>
        <w:t xml:space="preserve">, the </w:t>
      </w:r>
      <w:r w:rsidR="00720626" w:rsidRPr="0042152F">
        <w:rPr>
          <w:rFonts w:ascii="Times New Roman" w:hAnsi="Times New Roman" w:cs="Times New Roman"/>
          <w:i/>
          <w:iCs/>
          <w:sz w:val="24"/>
          <w:szCs w:val="24"/>
        </w:rPr>
        <w:t>Tornetta</w:t>
      </w:r>
      <w:r w:rsidR="00720626" w:rsidRPr="0042152F">
        <w:rPr>
          <w:rFonts w:ascii="Times New Roman" w:hAnsi="Times New Roman" w:cs="Times New Roman"/>
          <w:sz w:val="24"/>
          <w:szCs w:val="24"/>
        </w:rPr>
        <w:t xml:space="preserve"> court </w:t>
      </w:r>
      <w:r w:rsidR="00BC6F87" w:rsidRPr="0042152F">
        <w:rPr>
          <w:rFonts w:ascii="Times New Roman" w:hAnsi="Times New Roman" w:cs="Times New Roman"/>
          <w:sz w:val="24"/>
          <w:szCs w:val="24"/>
        </w:rPr>
        <w:t xml:space="preserve">did not directly </w:t>
      </w:r>
      <w:r w:rsidR="00336F41" w:rsidRPr="0042152F">
        <w:rPr>
          <w:rFonts w:ascii="Times New Roman" w:hAnsi="Times New Roman" w:cs="Times New Roman"/>
          <w:sz w:val="24"/>
          <w:szCs w:val="24"/>
        </w:rPr>
        <w:t>engage in</w:t>
      </w:r>
      <w:r w:rsidR="00720626" w:rsidRPr="0042152F">
        <w:rPr>
          <w:rFonts w:ascii="Times New Roman" w:hAnsi="Times New Roman" w:cs="Times New Roman"/>
          <w:sz w:val="24"/>
          <w:szCs w:val="24"/>
        </w:rPr>
        <w:t xml:space="preserve"> judicial valuation of Musk’s </w:t>
      </w:r>
      <w:r w:rsidR="007C63F1" w:rsidRPr="0042152F">
        <w:rPr>
          <w:rFonts w:ascii="Times New Roman" w:hAnsi="Times New Roman" w:cs="Times New Roman"/>
          <w:sz w:val="24"/>
          <w:szCs w:val="24"/>
        </w:rPr>
        <w:t>value to Tesla</w:t>
      </w:r>
      <w:r w:rsidR="00720626" w:rsidRPr="0042152F">
        <w:rPr>
          <w:rFonts w:ascii="Times New Roman" w:hAnsi="Times New Roman" w:cs="Times New Roman"/>
          <w:sz w:val="24"/>
          <w:szCs w:val="24"/>
        </w:rPr>
        <w:t xml:space="preserve">; instead, the court focused most of its attention on the </w:t>
      </w:r>
      <w:r w:rsidR="000D01D6" w:rsidRPr="0042152F">
        <w:rPr>
          <w:rFonts w:ascii="Times New Roman" w:hAnsi="Times New Roman" w:cs="Times New Roman"/>
          <w:sz w:val="24"/>
          <w:szCs w:val="24"/>
        </w:rPr>
        <w:t xml:space="preserve">compensation committee’s bargaining </w:t>
      </w:r>
      <w:r w:rsidR="00546875" w:rsidRPr="0042152F">
        <w:rPr>
          <w:rFonts w:ascii="Times New Roman" w:hAnsi="Times New Roman" w:cs="Times New Roman"/>
          <w:sz w:val="24"/>
          <w:szCs w:val="24"/>
        </w:rPr>
        <w:t>process.</w:t>
      </w:r>
      <w:r w:rsidR="00720626" w:rsidRPr="0042152F">
        <w:rPr>
          <w:rFonts w:ascii="Times New Roman" w:hAnsi="Times New Roman" w:cs="Times New Roman"/>
          <w:sz w:val="24"/>
          <w:szCs w:val="24"/>
        </w:rPr>
        <w:t xml:space="preserve"> As we will show, the court’s analysis </w:t>
      </w:r>
      <w:r w:rsidR="00CD6C7B">
        <w:rPr>
          <w:rFonts w:ascii="Times New Roman" w:hAnsi="Times New Roman" w:cs="Times New Roman"/>
          <w:sz w:val="24"/>
          <w:szCs w:val="24"/>
        </w:rPr>
        <w:t>underscore</w:t>
      </w:r>
      <w:r w:rsidR="00443EEF">
        <w:rPr>
          <w:rFonts w:ascii="Times New Roman" w:hAnsi="Times New Roman" w:cs="Times New Roman"/>
          <w:sz w:val="24"/>
          <w:szCs w:val="24"/>
        </w:rPr>
        <w:t>s</w:t>
      </w:r>
      <w:r w:rsidR="00CD6C7B">
        <w:rPr>
          <w:rFonts w:ascii="Times New Roman" w:hAnsi="Times New Roman" w:cs="Times New Roman"/>
          <w:sz w:val="24"/>
          <w:szCs w:val="24"/>
        </w:rPr>
        <w:t xml:space="preserve"> </w:t>
      </w:r>
      <w:r w:rsidR="00720626" w:rsidRPr="0042152F">
        <w:rPr>
          <w:rFonts w:ascii="Times New Roman" w:hAnsi="Times New Roman" w:cs="Times New Roman"/>
          <w:sz w:val="24"/>
          <w:szCs w:val="24"/>
        </w:rPr>
        <w:t>two flaws</w:t>
      </w:r>
      <w:r w:rsidR="00DB0ED1" w:rsidRPr="0042152F">
        <w:rPr>
          <w:rFonts w:ascii="Times New Roman" w:hAnsi="Times New Roman" w:cs="Times New Roman"/>
          <w:sz w:val="24"/>
          <w:szCs w:val="24"/>
        </w:rPr>
        <w:t xml:space="preserve"> arising from the </w:t>
      </w:r>
      <w:r w:rsidR="00546875" w:rsidRPr="0042152F">
        <w:rPr>
          <w:rFonts w:ascii="Times New Roman" w:hAnsi="Times New Roman" w:cs="Times New Roman"/>
          <w:sz w:val="24"/>
          <w:szCs w:val="24"/>
        </w:rPr>
        <w:t>appl</w:t>
      </w:r>
      <w:r w:rsidR="00546875" w:rsidRPr="0042152F">
        <w:rPr>
          <w:rFonts w:ascii="Times New Roman" w:hAnsi="Times New Roman" w:cs="Times New Roman"/>
          <w:sz w:val="24"/>
          <w:szCs w:val="24"/>
          <w:lang w:bidi="he-IL"/>
        </w:rPr>
        <w:t>ication of</w:t>
      </w:r>
      <w:r w:rsidR="00546875" w:rsidRPr="0042152F">
        <w:rPr>
          <w:rFonts w:ascii="Times New Roman" w:hAnsi="Times New Roman" w:cs="Times New Roman"/>
          <w:sz w:val="24"/>
          <w:szCs w:val="24"/>
        </w:rPr>
        <w:t xml:space="preserve"> </w:t>
      </w:r>
      <w:r w:rsidR="002D6669" w:rsidRPr="0042152F">
        <w:rPr>
          <w:rFonts w:ascii="Times New Roman" w:hAnsi="Times New Roman" w:cs="Times New Roman"/>
          <w:sz w:val="24"/>
          <w:szCs w:val="24"/>
        </w:rPr>
        <w:t xml:space="preserve">entire fairness review to </w:t>
      </w:r>
      <w:r w:rsidR="00443EEF">
        <w:rPr>
          <w:rFonts w:ascii="Times New Roman" w:hAnsi="Times New Roman" w:cs="Times New Roman"/>
          <w:sz w:val="24"/>
          <w:szCs w:val="24"/>
        </w:rPr>
        <w:t xml:space="preserve">a </w:t>
      </w:r>
      <w:r w:rsidR="002D6669" w:rsidRPr="0042152F">
        <w:rPr>
          <w:rFonts w:ascii="Times New Roman" w:hAnsi="Times New Roman" w:cs="Times New Roman"/>
          <w:sz w:val="24"/>
          <w:szCs w:val="24"/>
        </w:rPr>
        <w:t xml:space="preserve">controllers’ </w:t>
      </w:r>
      <w:r w:rsidR="002D6669" w:rsidRPr="00952A82">
        <w:rPr>
          <w:rFonts w:ascii="Times New Roman" w:hAnsi="Times New Roman" w:cs="Times New Roman"/>
          <w:sz w:val="24"/>
          <w:szCs w:val="24"/>
        </w:rPr>
        <w:t>vision</w:t>
      </w:r>
      <w:r w:rsidR="00720626" w:rsidRPr="00952A82">
        <w:rPr>
          <w:rFonts w:ascii="Times New Roman" w:hAnsi="Times New Roman" w:cs="Times New Roman"/>
          <w:sz w:val="24"/>
          <w:szCs w:val="24"/>
        </w:rPr>
        <w:t xml:space="preserve">: first, </w:t>
      </w:r>
      <w:r w:rsidR="004E4441" w:rsidRPr="00952A82">
        <w:rPr>
          <w:rFonts w:ascii="Times New Roman" w:hAnsi="Times New Roman" w:cs="Times New Roman"/>
          <w:sz w:val="24"/>
          <w:szCs w:val="24"/>
        </w:rPr>
        <w:t xml:space="preserve">in critiquing the bargaining process, the court implicitly compared Musk’s compensation with that of the average CEO; second, </w:t>
      </w:r>
      <w:r w:rsidR="00720626" w:rsidRPr="00952A82">
        <w:rPr>
          <w:rFonts w:ascii="Times New Roman" w:hAnsi="Times New Roman" w:cs="Times New Roman"/>
          <w:sz w:val="24"/>
          <w:szCs w:val="24"/>
        </w:rPr>
        <w:t xml:space="preserve">the inability to value vision led the court to focus on other factors, such as the form that the negotiations took and how the transaction fared in hindsight. </w:t>
      </w:r>
      <w:r w:rsidR="00687299">
        <w:rPr>
          <w:rFonts w:ascii="Times New Roman" w:hAnsi="Times New Roman" w:cs="Times New Roman"/>
          <w:sz w:val="24"/>
          <w:szCs w:val="24"/>
        </w:rPr>
        <w:t>W</w:t>
      </w:r>
      <w:r w:rsidR="00720626" w:rsidRPr="00952A82">
        <w:rPr>
          <w:rFonts w:ascii="Times New Roman" w:hAnsi="Times New Roman" w:cs="Times New Roman"/>
          <w:sz w:val="24"/>
          <w:szCs w:val="24"/>
        </w:rPr>
        <w:t xml:space="preserve">e </w:t>
      </w:r>
      <w:r w:rsidR="00687299">
        <w:rPr>
          <w:rFonts w:ascii="Times New Roman" w:hAnsi="Times New Roman" w:cs="Times New Roman"/>
          <w:sz w:val="24"/>
          <w:szCs w:val="24"/>
        </w:rPr>
        <w:t xml:space="preserve">then </w:t>
      </w:r>
      <w:r w:rsidR="00720626" w:rsidRPr="00952A82">
        <w:rPr>
          <w:rFonts w:ascii="Times New Roman" w:hAnsi="Times New Roman" w:cs="Times New Roman"/>
          <w:sz w:val="24"/>
          <w:szCs w:val="24"/>
        </w:rPr>
        <w:t xml:space="preserve">discuss another </w:t>
      </w:r>
      <w:r w:rsidR="00DE1F28" w:rsidRPr="00952A82">
        <w:rPr>
          <w:rFonts w:ascii="Times New Roman" w:hAnsi="Times New Roman" w:cs="Times New Roman"/>
          <w:sz w:val="24"/>
          <w:szCs w:val="24"/>
        </w:rPr>
        <w:t xml:space="preserve">case </w:t>
      </w:r>
      <w:r w:rsidR="00720626" w:rsidRPr="00952A82">
        <w:rPr>
          <w:rFonts w:ascii="Times New Roman" w:hAnsi="Times New Roman" w:cs="Times New Roman"/>
          <w:sz w:val="24"/>
          <w:szCs w:val="24"/>
        </w:rPr>
        <w:t xml:space="preserve">involving Tesla and Musk that </w:t>
      </w:r>
      <w:r w:rsidR="00850CCB" w:rsidRPr="00952A82">
        <w:rPr>
          <w:rFonts w:ascii="Times New Roman" w:hAnsi="Times New Roman" w:cs="Times New Roman"/>
          <w:sz w:val="24"/>
          <w:szCs w:val="24"/>
        </w:rPr>
        <w:t>illustrates</w:t>
      </w:r>
      <w:r w:rsidR="005609C9" w:rsidRPr="00952A82">
        <w:rPr>
          <w:rFonts w:ascii="Times New Roman" w:hAnsi="Times New Roman" w:cs="Times New Roman"/>
          <w:sz w:val="24"/>
          <w:szCs w:val="24"/>
        </w:rPr>
        <w:t xml:space="preserve"> that </w:t>
      </w:r>
      <w:r w:rsidR="00720626" w:rsidRPr="00952A82">
        <w:rPr>
          <w:rFonts w:ascii="Times New Roman" w:hAnsi="Times New Roman" w:cs="Times New Roman"/>
          <w:sz w:val="24"/>
          <w:szCs w:val="24"/>
        </w:rPr>
        <w:t xml:space="preserve">courts are also required to make impossible calculations of value when determining the fairness of a conflicted </w:t>
      </w:r>
      <w:r w:rsidR="00D0575C" w:rsidRPr="00952A82">
        <w:rPr>
          <w:rFonts w:ascii="Times New Roman" w:hAnsi="Times New Roman" w:cs="Times New Roman"/>
          <w:sz w:val="24"/>
          <w:szCs w:val="24"/>
        </w:rPr>
        <w:t>acquisitions by controlled companies</w:t>
      </w:r>
      <w:r w:rsidR="00720626" w:rsidRPr="00952A82">
        <w:rPr>
          <w:rFonts w:ascii="Times New Roman" w:hAnsi="Times New Roman" w:cs="Times New Roman"/>
          <w:sz w:val="24"/>
          <w:szCs w:val="24"/>
        </w:rPr>
        <w:t>.</w:t>
      </w:r>
    </w:p>
    <w:p w14:paraId="7E22CD14" w14:textId="107A6E8E" w:rsidR="002E3243" w:rsidRDefault="002E3243" w:rsidP="002E3243">
      <w:pPr>
        <w:spacing w:after="120" w:line="360" w:lineRule="auto"/>
        <w:ind w:firstLine="720"/>
        <w:jc w:val="both"/>
        <w:rPr>
          <w:rFonts w:ascii="Times New Roman" w:hAnsi="Times New Roman" w:cs="Times New Roman"/>
          <w:sz w:val="24"/>
          <w:szCs w:val="24"/>
        </w:rPr>
      </w:pPr>
    </w:p>
    <w:p w14:paraId="43EFEB98" w14:textId="77777777" w:rsidR="002E3243" w:rsidRPr="0042152F" w:rsidRDefault="002E3243" w:rsidP="002E3243">
      <w:pPr>
        <w:spacing w:after="120" w:line="360" w:lineRule="auto"/>
        <w:ind w:firstLine="720"/>
        <w:jc w:val="both"/>
        <w:rPr>
          <w:rFonts w:ascii="Times New Roman" w:hAnsi="Times New Roman" w:cs="Times New Roman"/>
          <w:sz w:val="24"/>
          <w:szCs w:val="24"/>
        </w:rPr>
      </w:pPr>
    </w:p>
    <w:p w14:paraId="4914CF14" w14:textId="554A2479" w:rsidR="00BE1D4D" w:rsidRPr="0042152F" w:rsidRDefault="00720626" w:rsidP="00B54C7C">
      <w:pPr>
        <w:pStyle w:val="Heading3"/>
        <w:numPr>
          <w:ilvl w:val="0"/>
          <w:numId w:val="29"/>
        </w:numPr>
        <w:spacing w:before="0" w:after="0"/>
      </w:pPr>
      <w:bookmarkStart w:id="17" w:name="_Toc171487680"/>
      <w:bookmarkStart w:id="18" w:name="_Toc171487681"/>
      <w:bookmarkStart w:id="19" w:name="_Toc171487682"/>
      <w:bookmarkStart w:id="20" w:name="_Toc171487683"/>
      <w:bookmarkStart w:id="21" w:name="_Toc171487684"/>
      <w:bookmarkStart w:id="22" w:name="_Toc181789841"/>
      <w:bookmarkEnd w:id="17"/>
      <w:bookmarkEnd w:id="18"/>
      <w:bookmarkEnd w:id="19"/>
      <w:bookmarkEnd w:id="20"/>
      <w:bookmarkEnd w:id="21"/>
      <w:r w:rsidRPr="0042152F">
        <w:t>Tornetta v. Musk</w:t>
      </w:r>
      <w:bookmarkEnd w:id="22"/>
    </w:p>
    <w:p w14:paraId="1AE31971" w14:textId="5CE8FC5B" w:rsidR="00D03ED2" w:rsidRPr="0042152F" w:rsidRDefault="00D03ED2"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In June 2018, Tesla stockholder Richard Tornetta filed a lawsuit alleging that the Tesla board breached its fiduciary duty by awarding Elon Musk a stock option grant potentially exceeding $50 billion.</w:t>
      </w:r>
      <w:r w:rsidRPr="0042152F">
        <w:rPr>
          <w:rFonts w:ascii="Times New Roman" w:hAnsi="Times New Roman" w:cs="Times New Roman"/>
          <w:sz w:val="24"/>
          <w:szCs w:val="24"/>
          <w:vertAlign w:val="superscript"/>
        </w:rPr>
        <w:footnoteReference w:id="157"/>
      </w:r>
      <w:r w:rsidRPr="0042152F">
        <w:rPr>
          <w:rFonts w:ascii="Times New Roman" w:hAnsi="Times New Roman" w:cs="Times New Roman"/>
          <w:sz w:val="24"/>
          <w:szCs w:val="24"/>
        </w:rPr>
        <w:t xml:space="preserve"> The compensation plan employed a familiar structure based on performance-vesting equity: Musk was granted shares of Tesla that would only vest upon achieving specific performance targets related to Tesla's market value, revenues, and profits.</w:t>
      </w:r>
      <w:r w:rsidRPr="0042152F">
        <w:rPr>
          <w:rStyle w:val="FootnoteReference"/>
          <w:rFonts w:ascii="Times New Roman" w:hAnsi="Times New Roman" w:cs="Times New Roman"/>
          <w:sz w:val="24"/>
          <w:szCs w:val="24"/>
        </w:rPr>
        <w:footnoteReference w:id="158"/>
      </w:r>
      <w:r w:rsidR="00964E0C" w:rsidRPr="0042152F">
        <w:rPr>
          <w:rFonts w:ascii="Times New Roman" w:hAnsi="Times New Roman" w:cs="Times New Roman"/>
          <w:sz w:val="24"/>
          <w:szCs w:val="24"/>
        </w:rPr>
        <w:t xml:space="preserve"> Indeed, this was the very structure that Tesla used to compensate Musk in previous compensation packages.</w:t>
      </w:r>
      <w:r w:rsidR="00964E0C" w:rsidRPr="0042152F">
        <w:rPr>
          <w:rStyle w:val="FootnoteReference"/>
          <w:rFonts w:ascii="Times New Roman" w:hAnsi="Times New Roman" w:cs="Times New Roman"/>
          <w:sz w:val="24"/>
          <w:szCs w:val="24"/>
        </w:rPr>
        <w:footnoteReference w:id="159"/>
      </w:r>
    </w:p>
    <w:p w14:paraId="6F32EA49" w14:textId="1B4A0E5A" w:rsidR="00C85E03" w:rsidRPr="0042152F" w:rsidRDefault="00D03ED2"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The bold</w:t>
      </w:r>
      <w:r w:rsidR="00664A5A">
        <w:rPr>
          <w:rFonts w:ascii="Times New Roman" w:hAnsi="Times New Roman" w:cs="Times New Roman"/>
          <w:sz w:val="24"/>
          <w:szCs w:val="24"/>
        </w:rPr>
        <w:t>ness</w:t>
      </w:r>
      <w:r w:rsidRPr="0042152F">
        <w:rPr>
          <w:rFonts w:ascii="Times New Roman" w:hAnsi="Times New Roman" w:cs="Times New Roman"/>
          <w:sz w:val="24"/>
          <w:szCs w:val="24"/>
        </w:rPr>
        <w:t xml:space="preserve"> of the plan came from </w:t>
      </w:r>
      <w:r w:rsidR="001D5145" w:rsidRPr="0042152F">
        <w:rPr>
          <w:rFonts w:ascii="Times New Roman" w:hAnsi="Times New Roman" w:cs="Times New Roman"/>
          <w:sz w:val="24"/>
          <w:szCs w:val="24"/>
        </w:rPr>
        <w:t xml:space="preserve">both </w:t>
      </w:r>
      <w:r w:rsidRPr="0042152F">
        <w:rPr>
          <w:rFonts w:ascii="Times New Roman" w:hAnsi="Times New Roman" w:cs="Times New Roman"/>
          <w:sz w:val="24"/>
          <w:szCs w:val="24"/>
        </w:rPr>
        <w:t xml:space="preserve">the ambitious </w:t>
      </w:r>
      <w:r w:rsidR="001D5145" w:rsidRPr="0042152F">
        <w:rPr>
          <w:rFonts w:ascii="Times New Roman" w:hAnsi="Times New Roman" w:cs="Times New Roman"/>
          <w:sz w:val="24"/>
          <w:szCs w:val="24"/>
        </w:rPr>
        <w:t xml:space="preserve">goals </w:t>
      </w:r>
      <w:r w:rsidRPr="0042152F">
        <w:rPr>
          <w:rFonts w:ascii="Times New Roman" w:hAnsi="Times New Roman" w:cs="Times New Roman"/>
          <w:sz w:val="24"/>
          <w:szCs w:val="24"/>
        </w:rPr>
        <w:t>it set forth</w:t>
      </w:r>
      <w:r w:rsidR="004F312C" w:rsidRPr="0042152F">
        <w:rPr>
          <w:rFonts w:ascii="Times New Roman" w:hAnsi="Times New Roman" w:cs="Times New Roman"/>
          <w:sz w:val="24"/>
          <w:szCs w:val="24"/>
        </w:rPr>
        <w:t xml:space="preserve"> and the </w:t>
      </w:r>
      <w:r w:rsidR="001D5145" w:rsidRPr="0042152F">
        <w:rPr>
          <w:rFonts w:ascii="Times New Roman" w:hAnsi="Times New Roman" w:cs="Times New Roman"/>
          <w:sz w:val="24"/>
          <w:szCs w:val="24"/>
        </w:rPr>
        <w:t>magnitude of Musk’s pay if these goal</w:t>
      </w:r>
      <w:r w:rsidR="006563A5" w:rsidRPr="0042152F">
        <w:rPr>
          <w:rFonts w:ascii="Times New Roman" w:hAnsi="Times New Roman" w:cs="Times New Roman"/>
          <w:sz w:val="24"/>
          <w:szCs w:val="24"/>
        </w:rPr>
        <w:t>s</w:t>
      </w:r>
      <w:r w:rsidR="001D5145" w:rsidRPr="0042152F">
        <w:rPr>
          <w:rFonts w:ascii="Times New Roman" w:hAnsi="Times New Roman" w:cs="Times New Roman"/>
          <w:sz w:val="24"/>
          <w:szCs w:val="24"/>
        </w:rPr>
        <w:t xml:space="preserve"> were met</w:t>
      </w:r>
      <w:r w:rsidRPr="0042152F">
        <w:rPr>
          <w:rFonts w:ascii="Times New Roman" w:hAnsi="Times New Roman" w:cs="Times New Roman"/>
          <w:sz w:val="24"/>
          <w:szCs w:val="24"/>
        </w:rPr>
        <w:t xml:space="preserve">. If Tesla’s market value failed to exceed $100 billion by 2028, Musk would receive nothing. However, if </w:t>
      </w:r>
      <w:r w:rsidR="003846A1" w:rsidRPr="0042152F">
        <w:rPr>
          <w:rFonts w:ascii="Times New Roman" w:hAnsi="Times New Roman" w:cs="Times New Roman"/>
          <w:sz w:val="24"/>
          <w:szCs w:val="24"/>
        </w:rPr>
        <w:t>Musk</w:t>
      </w:r>
      <w:r w:rsidRPr="0042152F">
        <w:rPr>
          <w:rFonts w:ascii="Times New Roman" w:hAnsi="Times New Roman" w:cs="Times New Roman"/>
          <w:sz w:val="24"/>
          <w:szCs w:val="24"/>
        </w:rPr>
        <w:t xml:space="preserve"> could elevate Tesla</w:t>
      </w:r>
      <w:r w:rsidR="00DB4235" w:rsidRPr="0042152F">
        <w:rPr>
          <w:rFonts w:ascii="Times New Roman" w:hAnsi="Times New Roman" w:cs="Times New Roman"/>
          <w:sz w:val="24"/>
          <w:szCs w:val="24"/>
        </w:rPr>
        <w:t>’</w:t>
      </w:r>
      <w:r w:rsidRPr="0042152F">
        <w:rPr>
          <w:rFonts w:ascii="Times New Roman" w:hAnsi="Times New Roman" w:cs="Times New Roman"/>
          <w:sz w:val="24"/>
          <w:szCs w:val="24"/>
        </w:rPr>
        <w:t xml:space="preserve">s market value from approximately $59 billion to $650 billion within ten </w:t>
      </w:r>
      <w:r w:rsidR="00726913" w:rsidRPr="0042152F">
        <w:rPr>
          <w:rFonts w:ascii="Times New Roman" w:hAnsi="Times New Roman" w:cs="Times New Roman"/>
          <w:sz w:val="24"/>
          <w:szCs w:val="24"/>
        </w:rPr>
        <w:t>years,</w:t>
      </w:r>
      <w:r w:rsidR="0097706E">
        <w:rPr>
          <w:rFonts w:ascii="Times New Roman" w:hAnsi="Times New Roman" w:cs="Times New Roman"/>
          <w:sz w:val="24"/>
          <w:szCs w:val="24"/>
        </w:rPr>
        <w:t xml:space="preserve"> </w:t>
      </w:r>
      <w:r w:rsidRPr="0042152F">
        <w:rPr>
          <w:rFonts w:ascii="Times New Roman" w:hAnsi="Times New Roman" w:cs="Times New Roman"/>
          <w:sz w:val="24"/>
          <w:szCs w:val="24"/>
        </w:rPr>
        <w:t>he stood to make $55 billion.</w:t>
      </w:r>
      <w:r w:rsidR="00C85E03" w:rsidRPr="0042152F">
        <w:rPr>
          <w:rStyle w:val="FootnoteReference"/>
          <w:rFonts w:ascii="Times New Roman" w:hAnsi="Times New Roman" w:cs="Times New Roman"/>
          <w:sz w:val="24"/>
          <w:szCs w:val="24"/>
        </w:rPr>
        <w:footnoteReference w:id="160"/>
      </w:r>
      <w:r w:rsidRPr="0042152F">
        <w:rPr>
          <w:rFonts w:ascii="Times New Roman" w:hAnsi="Times New Roman" w:cs="Times New Roman"/>
          <w:sz w:val="24"/>
          <w:szCs w:val="24"/>
        </w:rPr>
        <w:t xml:space="preserve"> The revenue targets were equally staggering, requiring Tesla to </w:t>
      </w:r>
      <w:r w:rsidR="00453A75">
        <w:rPr>
          <w:rFonts w:ascii="Times New Roman" w:hAnsi="Times New Roman" w:cs="Times New Roman"/>
          <w:sz w:val="24"/>
          <w:szCs w:val="24"/>
        </w:rPr>
        <w:t>generate</w:t>
      </w:r>
      <w:r w:rsidRPr="0042152F">
        <w:rPr>
          <w:rFonts w:ascii="Times New Roman" w:hAnsi="Times New Roman" w:cs="Times New Roman"/>
          <w:sz w:val="24"/>
          <w:szCs w:val="24"/>
        </w:rPr>
        <w:t xml:space="preserve"> $175 billion, which was 17 times its most recent annual </w:t>
      </w:r>
      <w:r w:rsidR="001274A2">
        <w:rPr>
          <w:rFonts w:ascii="Times New Roman" w:hAnsi="Times New Roman" w:cs="Times New Roman"/>
          <w:sz w:val="24"/>
          <w:szCs w:val="24"/>
        </w:rPr>
        <w:t>revenue</w:t>
      </w:r>
      <w:r w:rsidR="001274A2" w:rsidRPr="0042152F">
        <w:rPr>
          <w:rFonts w:ascii="Times New Roman" w:hAnsi="Times New Roman" w:cs="Times New Roman"/>
          <w:sz w:val="24"/>
          <w:szCs w:val="24"/>
        </w:rPr>
        <w:t xml:space="preserve"> </w:t>
      </w:r>
      <w:r w:rsidRPr="0042152F">
        <w:rPr>
          <w:rFonts w:ascii="Times New Roman" w:hAnsi="Times New Roman" w:cs="Times New Roman"/>
          <w:sz w:val="24"/>
          <w:szCs w:val="24"/>
        </w:rPr>
        <w:t>at the time the plan was adopted.</w:t>
      </w:r>
      <w:r w:rsidRPr="0042152F">
        <w:rPr>
          <w:rFonts w:ascii="Times New Roman" w:hAnsi="Times New Roman" w:cs="Times New Roman"/>
          <w:sz w:val="24"/>
          <w:szCs w:val="24"/>
          <w:vertAlign w:val="superscript"/>
        </w:rPr>
        <w:footnoteReference w:id="161"/>
      </w:r>
      <w:r w:rsidRPr="0042152F">
        <w:rPr>
          <w:rFonts w:ascii="Times New Roman" w:hAnsi="Times New Roman" w:cs="Times New Roman"/>
          <w:sz w:val="24"/>
          <w:szCs w:val="24"/>
        </w:rPr>
        <w:t xml:space="preserve"> </w:t>
      </w:r>
    </w:p>
    <w:p w14:paraId="5BDEC6F8" w14:textId="33E729A8" w:rsidR="00AB255E" w:rsidRPr="0042152F" w:rsidRDefault="00362336"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Not only </w:t>
      </w:r>
      <w:r w:rsidR="00664A5A">
        <w:rPr>
          <w:rFonts w:ascii="Times New Roman" w:hAnsi="Times New Roman" w:cs="Times New Roman"/>
          <w:sz w:val="24"/>
          <w:szCs w:val="24"/>
        </w:rPr>
        <w:t xml:space="preserve">did </w:t>
      </w:r>
      <w:r w:rsidRPr="0042152F">
        <w:rPr>
          <w:rFonts w:ascii="Times New Roman" w:hAnsi="Times New Roman" w:cs="Times New Roman"/>
          <w:sz w:val="24"/>
          <w:szCs w:val="24"/>
        </w:rPr>
        <w:t xml:space="preserve">commentators </w:t>
      </w:r>
      <w:r w:rsidR="00D03ED2" w:rsidRPr="0042152F">
        <w:rPr>
          <w:rFonts w:ascii="Times New Roman" w:hAnsi="Times New Roman" w:cs="Times New Roman"/>
          <w:sz w:val="24"/>
          <w:szCs w:val="24"/>
        </w:rPr>
        <w:t>doubt Musk’s ability to achieve these goals, but the market also exhibited skepticism. On the day the plan was announced, Tesla’s stock price was $23.52 per share;</w:t>
      </w:r>
      <w:r w:rsidR="00D03ED2" w:rsidRPr="0042152F">
        <w:rPr>
          <w:rFonts w:ascii="Times New Roman" w:hAnsi="Times New Roman" w:cs="Times New Roman"/>
          <w:sz w:val="24"/>
          <w:szCs w:val="24"/>
          <w:vertAlign w:val="superscript"/>
        </w:rPr>
        <w:footnoteReference w:id="162"/>
      </w:r>
      <w:r w:rsidR="00D03ED2" w:rsidRPr="0042152F">
        <w:rPr>
          <w:rFonts w:ascii="Times New Roman" w:hAnsi="Times New Roman" w:cs="Times New Roman"/>
          <w:sz w:val="24"/>
          <w:szCs w:val="24"/>
        </w:rPr>
        <w:t xml:space="preserve"> two days later, it dropped to $22.50, and when shareholders approved the plan, it further declined to $21.10 per share.</w:t>
      </w:r>
      <w:r w:rsidR="00C85E03" w:rsidRPr="0042152F">
        <w:rPr>
          <w:rStyle w:val="FootnoteReference"/>
          <w:rFonts w:ascii="Times New Roman" w:hAnsi="Times New Roman" w:cs="Times New Roman"/>
          <w:sz w:val="24"/>
          <w:szCs w:val="24"/>
        </w:rPr>
        <w:footnoteReference w:id="163"/>
      </w:r>
      <w:r w:rsidR="00291FEE" w:rsidRPr="0042152F">
        <w:rPr>
          <w:rFonts w:ascii="Times New Roman" w:hAnsi="Times New Roman" w:cs="Times New Roman"/>
          <w:sz w:val="24"/>
          <w:szCs w:val="24"/>
        </w:rPr>
        <w:t xml:space="preserve"> </w:t>
      </w:r>
      <w:r w:rsidR="00DC6E6D" w:rsidRPr="0042152F">
        <w:rPr>
          <w:rFonts w:ascii="Times New Roman" w:hAnsi="Times New Roman" w:cs="Times New Roman"/>
          <w:sz w:val="24"/>
          <w:szCs w:val="24"/>
        </w:rPr>
        <w:t>Therefore</w:t>
      </w:r>
      <w:r w:rsidR="009D5D1E" w:rsidRPr="0042152F">
        <w:rPr>
          <w:rFonts w:ascii="Times New Roman" w:hAnsi="Times New Roman" w:cs="Times New Roman"/>
          <w:sz w:val="24"/>
          <w:szCs w:val="24"/>
        </w:rPr>
        <w:t>, w</w:t>
      </w:r>
      <w:r w:rsidR="00AB255E" w:rsidRPr="0042152F">
        <w:rPr>
          <w:rFonts w:ascii="Times New Roman" w:hAnsi="Times New Roman" w:cs="Times New Roman"/>
          <w:sz w:val="24"/>
          <w:szCs w:val="24"/>
        </w:rPr>
        <w:t>hen Tesla first announced Musk’s compensation plan in January 2018,</w:t>
      </w:r>
      <w:r w:rsidR="00AB255E" w:rsidRPr="0042152F">
        <w:rPr>
          <w:rFonts w:ascii="Times New Roman" w:hAnsi="Times New Roman" w:cs="Times New Roman"/>
          <w:sz w:val="24"/>
          <w:szCs w:val="24"/>
          <w:vertAlign w:val="superscript"/>
        </w:rPr>
        <w:footnoteReference w:id="164"/>
      </w:r>
      <w:r w:rsidR="00AB255E" w:rsidRPr="0042152F">
        <w:rPr>
          <w:rFonts w:ascii="Times New Roman" w:hAnsi="Times New Roman" w:cs="Times New Roman"/>
          <w:sz w:val="24"/>
          <w:szCs w:val="24"/>
        </w:rPr>
        <w:t xml:space="preserve"> and </w:t>
      </w:r>
      <w:r w:rsidR="00DC6E6D" w:rsidRPr="0042152F">
        <w:rPr>
          <w:rFonts w:ascii="Times New Roman" w:hAnsi="Times New Roman" w:cs="Times New Roman"/>
          <w:sz w:val="24"/>
          <w:szCs w:val="24"/>
        </w:rPr>
        <w:t xml:space="preserve">later, when </w:t>
      </w:r>
      <w:r w:rsidR="00AB255E" w:rsidRPr="0042152F">
        <w:rPr>
          <w:rFonts w:ascii="Times New Roman" w:hAnsi="Times New Roman" w:cs="Times New Roman"/>
          <w:sz w:val="24"/>
          <w:szCs w:val="24"/>
        </w:rPr>
        <w:t>the plan was “overwhelmingly approved” by Tesla shareholders that March,</w:t>
      </w:r>
      <w:r w:rsidR="00AB255E" w:rsidRPr="0042152F">
        <w:rPr>
          <w:rFonts w:ascii="Times New Roman" w:hAnsi="Times New Roman" w:cs="Times New Roman"/>
          <w:sz w:val="24"/>
          <w:szCs w:val="24"/>
          <w:vertAlign w:val="superscript"/>
        </w:rPr>
        <w:footnoteReference w:id="165"/>
      </w:r>
      <w:r w:rsidR="00AB255E" w:rsidRPr="0042152F">
        <w:rPr>
          <w:rFonts w:ascii="Times New Roman" w:hAnsi="Times New Roman" w:cs="Times New Roman"/>
          <w:sz w:val="24"/>
          <w:szCs w:val="24"/>
        </w:rPr>
        <w:t xml:space="preserve"> many considered it extremely unlikely Musk would earn this payday.</w:t>
      </w:r>
      <w:r w:rsidR="00AB255E" w:rsidRPr="0042152F">
        <w:rPr>
          <w:rFonts w:ascii="Times New Roman" w:hAnsi="Times New Roman" w:cs="Times New Roman"/>
          <w:sz w:val="24"/>
          <w:szCs w:val="24"/>
          <w:vertAlign w:val="superscript"/>
        </w:rPr>
        <w:footnoteReference w:id="166"/>
      </w:r>
      <w:r w:rsidR="00AB255E" w:rsidRPr="0042152F">
        <w:rPr>
          <w:rFonts w:ascii="Times New Roman" w:hAnsi="Times New Roman" w:cs="Times New Roman"/>
          <w:sz w:val="24"/>
          <w:szCs w:val="24"/>
        </w:rPr>
        <w:t xml:space="preserve"> </w:t>
      </w:r>
      <w:r w:rsidR="00382C53" w:rsidRPr="0042152F">
        <w:rPr>
          <w:rFonts w:ascii="Times New Roman" w:hAnsi="Times New Roman" w:cs="Times New Roman"/>
          <w:sz w:val="24"/>
          <w:szCs w:val="24"/>
        </w:rPr>
        <w:t>In fact, d</w:t>
      </w:r>
      <w:r w:rsidR="00AB255E" w:rsidRPr="0042152F">
        <w:rPr>
          <w:rFonts w:ascii="Times New Roman" w:hAnsi="Times New Roman" w:cs="Times New Roman"/>
          <w:sz w:val="24"/>
          <w:szCs w:val="24"/>
        </w:rPr>
        <w:t>etractors called the requisite milestones “laughably impossible.”</w:t>
      </w:r>
      <w:r w:rsidR="00AB255E" w:rsidRPr="0042152F">
        <w:rPr>
          <w:rFonts w:ascii="Times New Roman" w:hAnsi="Times New Roman" w:cs="Times New Roman"/>
          <w:sz w:val="24"/>
          <w:szCs w:val="24"/>
          <w:vertAlign w:val="superscript"/>
        </w:rPr>
        <w:footnoteReference w:id="167"/>
      </w:r>
    </w:p>
    <w:p w14:paraId="2B57F123" w14:textId="223A591D" w:rsidR="0010137F" w:rsidRPr="0042152F" w:rsidRDefault="004F383E"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Things</w:t>
      </w:r>
      <w:r w:rsidR="002337DF" w:rsidRPr="0042152F">
        <w:rPr>
          <w:rFonts w:ascii="Times New Roman" w:hAnsi="Times New Roman" w:cs="Times New Roman"/>
          <w:sz w:val="24"/>
          <w:szCs w:val="24"/>
        </w:rPr>
        <w:t xml:space="preserve"> only</w:t>
      </w:r>
      <w:r w:rsidRPr="0042152F">
        <w:rPr>
          <w:rFonts w:ascii="Times New Roman" w:hAnsi="Times New Roman" w:cs="Times New Roman"/>
          <w:sz w:val="24"/>
          <w:szCs w:val="24"/>
        </w:rPr>
        <w:t xml:space="preserve"> got worse </w:t>
      </w:r>
      <w:r w:rsidR="00C85E03" w:rsidRPr="0042152F">
        <w:rPr>
          <w:rFonts w:ascii="Times New Roman" w:hAnsi="Times New Roman" w:cs="Times New Roman"/>
          <w:sz w:val="24"/>
          <w:szCs w:val="24"/>
        </w:rPr>
        <w:t xml:space="preserve">for Tesla </w:t>
      </w:r>
      <w:r w:rsidRPr="0042152F">
        <w:rPr>
          <w:rFonts w:ascii="Times New Roman" w:hAnsi="Times New Roman" w:cs="Times New Roman"/>
          <w:sz w:val="24"/>
          <w:szCs w:val="24"/>
        </w:rPr>
        <w:t>a</w:t>
      </w:r>
      <w:r w:rsidR="00AB255E" w:rsidRPr="0042152F">
        <w:rPr>
          <w:rFonts w:ascii="Times New Roman" w:hAnsi="Times New Roman" w:cs="Times New Roman"/>
          <w:sz w:val="24"/>
          <w:szCs w:val="24"/>
        </w:rPr>
        <w:t xml:space="preserve"> few months after the plan’s adoption</w:t>
      </w:r>
      <w:r w:rsidR="001C5AC6" w:rsidRPr="0042152F">
        <w:rPr>
          <w:rFonts w:ascii="Times New Roman" w:hAnsi="Times New Roman" w:cs="Times New Roman"/>
          <w:sz w:val="24"/>
          <w:szCs w:val="24"/>
        </w:rPr>
        <w:t>, when t</w:t>
      </w:r>
      <w:r w:rsidR="00AB255E" w:rsidRPr="0042152F">
        <w:rPr>
          <w:rFonts w:ascii="Times New Roman" w:hAnsi="Times New Roman" w:cs="Times New Roman"/>
          <w:sz w:val="24"/>
          <w:szCs w:val="24"/>
        </w:rPr>
        <w:t>he company was posting record losses and struggling to reach production targets on its new car, the Model 3.</w:t>
      </w:r>
      <w:r w:rsidR="00AB255E" w:rsidRPr="0042152F">
        <w:rPr>
          <w:rFonts w:ascii="Times New Roman" w:hAnsi="Times New Roman" w:cs="Times New Roman"/>
          <w:sz w:val="24"/>
          <w:szCs w:val="24"/>
          <w:vertAlign w:val="superscript"/>
        </w:rPr>
        <w:footnoteReference w:id="168"/>
      </w:r>
      <w:r w:rsidR="00AB255E" w:rsidRPr="0042152F">
        <w:rPr>
          <w:rFonts w:ascii="Times New Roman" w:hAnsi="Times New Roman" w:cs="Times New Roman"/>
          <w:sz w:val="24"/>
          <w:szCs w:val="24"/>
        </w:rPr>
        <w:t xml:space="preserve"> Tornetta filed his claim amidst Tesla’s struggles, in June 2018, when the average </w:t>
      </w:r>
      <w:r w:rsidR="00431F16">
        <w:rPr>
          <w:rFonts w:ascii="Times New Roman" w:hAnsi="Times New Roman" w:cs="Times New Roman"/>
          <w:sz w:val="24"/>
          <w:szCs w:val="24"/>
        </w:rPr>
        <w:t xml:space="preserve">stock </w:t>
      </w:r>
      <w:r w:rsidR="00AB255E" w:rsidRPr="0042152F">
        <w:rPr>
          <w:rFonts w:ascii="Times New Roman" w:hAnsi="Times New Roman" w:cs="Times New Roman"/>
          <w:sz w:val="24"/>
          <w:szCs w:val="24"/>
        </w:rPr>
        <w:t>price was still at $23 a share.</w:t>
      </w:r>
      <w:r w:rsidR="00C85E03" w:rsidRPr="0042152F">
        <w:rPr>
          <w:rStyle w:val="FootnoteReference"/>
          <w:rFonts w:ascii="Times New Roman" w:hAnsi="Times New Roman" w:cs="Times New Roman"/>
          <w:sz w:val="24"/>
          <w:szCs w:val="24"/>
        </w:rPr>
        <w:footnoteReference w:id="169"/>
      </w:r>
      <w:r w:rsidR="00AB255E" w:rsidRPr="0042152F">
        <w:rPr>
          <w:rFonts w:ascii="Times New Roman" w:hAnsi="Times New Roman" w:cs="Times New Roman"/>
          <w:sz w:val="24"/>
          <w:szCs w:val="24"/>
        </w:rPr>
        <w:t xml:space="preserve"> But Tesla’s situation continued to be dire. A few months later, in October 2018, when Tesla’s share price </w:t>
      </w:r>
      <w:r w:rsidR="00C85E03" w:rsidRPr="0042152F">
        <w:rPr>
          <w:rFonts w:ascii="Times New Roman" w:hAnsi="Times New Roman" w:cs="Times New Roman"/>
          <w:sz w:val="24"/>
          <w:szCs w:val="24"/>
        </w:rPr>
        <w:t>fell</w:t>
      </w:r>
      <w:r w:rsidR="00AB255E" w:rsidRPr="0042152F">
        <w:rPr>
          <w:rFonts w:ascii="Times New Roman" w:hAnsi="Times New Roman" w:cs="Times New Roman"/>
          <w:sz w:val="24"/>
          <w:szCs w:val="24"/>
        </w:rPr>
        <w:t xml:space="preserve"> to below $17 a share, David Einhorn, the manager of the hedge fund Greenlight Capital, </w:t>
      </w:r>
      <w:r w:rsidR="007921F8" w:rsidRPr="0042152F">
        <w:rPr>
          <w:rFonts w:ascii="Times New Roman" w:hAnsi="Times New Roman" w:cs="Times New Roman"/>
          <w:sz w:val="24"/>
          <w:szCs w:val="24"/>
        </w:rPr>
        <w:t xml:space="preserve">wrote to </w:t>
      </w:r>
      <w:r w:rsidR="00AB255E" w:rsidRPr="0042152F">
        <w:rPr>
          <w:rFonts w:ascii="Times New Roman" w:hAnsi="Times New Roman" w:cs="Times New Roman"/>
          <w:sz w:val="24"/>
          <w:szCs w:val="24"/>
        </w:rPr>
        <w:t xml:space="preserve">his investors </w:t>
      </w:r>
      <w:r w:rsidR="00AB255E" w:rsidRPr="0042152F" w:rsidDel="00E13BCD">
        <w:rPr>
          <w:rFonts w:ascii="Times New Roman" w:hAnsi="Times New Roman" w:cs="Times New Roman"/>
          <w:sz w:val="24"/>
          <w:szCs w:val="24"/>
        </w:rPr>
        <w:t xml:space="preserve">that </w:t>
      </w:r>
      <w:r w:rsidR="00AB255E" w:rsidRPr="0042152F">
        <w:rPr>
          <w:rFonts w:ascii="Times New Roman" w:hAnsi="Times New Roman" w:cs="Times New Roman"/>
          <w:sz w:val="24"/>
          <w:szCs w:val="24"/>
        </w:rPr>
        <w:t>Tesla bore a resemblance to Lehman Brothers before its 2008 bankruptcy (a collapse that Einhorn had foreseen months before it occurred).</w:t>
      </w:r>
      <w:r w:rsidR="00AB255E" w:rsidRPr="0042152F">
        <w:rPr>
          <w:rFonts w:ascii="Times New Roman" w:hAnsi="Times New Roman" w:cs="Times New Roman"/>
          <w:sz w:val="24"/>
          <w:szCs w:val="24"/>
          <w:vertAlign w:val="superscript"/>
        </w:rPr>
        <w:footnoteReference w:id="170"/>
      </w:r>
      <w:r w:rsidR="00AB255E" w:rsidRPr="0042152F">
        <w:rPr>
          <w:rFonts w:ascii="Times New Roman" w:hAnsi="Times New Roman" w:cs="Times New Roman"/>
          <w:sz w:val="24"/>
          <w:szCs w:val="24"/>
        </w:rPr>
        <w:t xml:space="preserve"> </w:t>
      </w:r>
      <w:r w:rsidR="00AB255E" w:rsidRPr="0042152F">
        <w:rPr>
          <w:rFonts w:ascii="Times New Roman" w:hAnsi="Times New Roman" w:cs="Times New Roman"/>
          <w:sz w:val="24"/>
          <w:szCs w:val="24"/>
        </w:rPr>
        <w:lastRenderedPageBreak/>
        <w:t>Indeed, some predicted outright that Tesla would soon file for bankruptcy,</w:t>
      </w:r>
      <w:r w:rsidR="00AB255E" w:rsidRPr="0042152F">
        <w:rPr>
          <w:rFonts w:ascii="Times New Roman" w:hAnsi="Times New Roman" w:cs="Times New Roman"/>
          <w:sz w:val="24"/>
          <w:szCs w:val="24"/>
          <w:vertAlign w:val="superscript"/>
        </w:rPr>
        <w:footnoteReference w:id="171"/>
      </w:r>
      <w:r w:rsidR="00AB255E" w:rsidRPr="0042152F">
        <w:rPr>
          <w:rFonts w:ascii="Times New Roman" w:hAnsi="Times New Roman" w:cs="Times New Roman"/>
          <w:sz w:val="24"/>
          <w:szCs w:val="24"/>
        </w:rPr>
        <w:t xml:space="preserve"> while others speculated on who should replace Elon Musk as CEO.</w:t>
      </w:r>
      <w:r w:rsidR="00AB255E" w:rsidRPr="0042152F">
        <w:rPr>
          <w:rFonts w:ascii="Times New Roman" w:hAnsi="Times New Roman" w:cs="Times New Roman"/>
          <w:sz w:val="24"/>
          <w:szCs w:val="24"/>
          <w:vertAlign w:val="superscript"/>
        </w:rPr>
        <w:footnoteReference w:id="172"/>
      </w:r>
      <w:r w:rsidR="00AB255E" w:rsidRPr="0042152F">
        <w:rPr>
          <w:rFonts w:ascii="Times New Roman" w:hAnsi="Times New Roman" w:cs="Times New Roman"/>
          <w:sz w:val="24"/>
          <w:szCs w:val="24"/>
        </w:rPr>
        <w:t xml:space="preserve"> </w:t>
      </w:r>
    </w:p>
    <w:p w14:paraId="13526AFA" w14:textId="0C4BDA86" w:rsidR="00AB255E" w:rsidRPr="0042152F" w:rsidRDefault="00AB255E"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In June 2019, Tesla’s stock price </w:t>
      </w:r>
      <w:r w:rsidR="0010137F" w:rsidRPr="0042152F">
        <w:rPr>
          <w:rFonts w:ascii="Times New Roman" w:hAnsi="Times New Roman" w:cs="Times New Roman"/>
          <w:sz w:val="24"/>
          <w:szCs w:val="24"/>
        </w:rPr>
        <w:t>fell</w:t>
      </w:r>
      <w:r w:rsidRPr="0042152F">
        <w:rPr>
          <w:rFonts w:ascii="Times New Roman" w:hAnsi="Times New Roman" w:cs="Times New Roman"/>
          <w:sz w:val="24"/>
          <w:szCs w:val="24"/>
        </w:rPr>
        <w:t xml:space="preserve"> </w:t>
      </w:r>
      <w:r w:rsidR="00C85E03" w:rsidRPr="0042152F">
        <w:rPr>
          <w:rFonts w:ascii="Times New Roman" w:hAnsi="Times New Roman" w:cs="Times New Roman"/>
          <w:sz w:val="24"/>
          <w:szCs w:val="24"/>
        </w:rPr>
        <w:t xml:space="preserve">further, </w:t>
      </w:r>
      <w:r w:rsidRPr="0042152F">
        <w:rPr>
          <w:rFonts w:ascii="Times New Roman" w:hAnsi="Times New Roman" w:cs="Times New Roman"/>
          <w:sz w:val="24"/>
          <w:szCs w:val="24"/>
        </w:rPr>
        <w:t>below $12 a share</w:t>
      </w:r>
      <w:r w:rsidR="00D03ED2" w:rsidRPr="0042152F">
        <w:rPr>
          <w:rFonts w:ascii="Times New Roman" w:hAnsi="Times New Roman" w:cs="Times New Roman"/>
          <w:sz w:val="24"/>
          <w:szCs w:val="24"/>
        </w:rPr>
        <w:t xml:space="preserve">, </w:t>
      </w:r>
      <w:r w:rsidR="00291FEE" w:rsidRPr="0042152F">
        <w:rPr>
          <w:rFonts w:ascii="Times New Roman" w:hAnsi="Times New Roman" w:cs="Times New Roman"/>
          <w:sz w:val="24"/>
          <w:szCs w:val="24"/>
        </w:rPr>
        <w:t xml:space="preserve">marking </w:t>
      </w:r>
      <w:r w:rsidR="00D03ED2" w:rsidRPr="0042152F">
        <w:rPr>
          <w:rFonts w:ascii="Times New Roman" w:hAnsi="Times New Roman" w:cs="Times New Roman"/>
          <w:sz w:val="24"/>
          <w:szCs w:val="24"/>
        </w:rPr>
        <w:t>a 48% drop since the announcement of the pay package</w:t>
      </w:r>
      <w:r w:rsidRPr="0042152F">
        <w:rPr>
          <w:rFonts w:ascii="Times New Roman" w:hAnsi="Times New Roman" w:cs="Times New Roman"/>
          <w:sz w:val="24"/>
          <w:szCs w:val="24"/>
        </w:rPr>
        <w:t>. Even a year later, in October 2019, as Tesla delivered a rare third-quarter profit, experts remained “concerned on 2020 momentum/profitability.”</w:t>
      </w:r>
      <w:r w:rsidRPr="0042152F">
        <w:rPr>
          <w:rFonts w:ascii="Times New Roman" w:hAnsi="Times New Roman" w:cs="Times New Roman"/>
          <w:sz w:val="24"/>
          <w:szCs w:val="24"/>
          <w:vertAlign w:val="superscript"/>
        </w:rPr>
        <w:footnoteReference w:id="173"/>
      </w:r>
      <w:r w:rsidRPr="0042152F">
        <w:rPr>
          <w:rFonts w:ascii="Times New Roman" w:hAnsi="Times New Roman" w:cs="Times New Roman"/>
          <w:sz w:val="24"/>
          <w:szCs w:val="24"/>
        </w:rPr>
        <w:t xml:space="preserve"> At that time, the stock price </w:t>
      </w:r>
      <w:r w:rsidR="0010137F" w:rsidRPr="0042152F">
        <w:rPr>
          <w:rFonts w:ascii="Times New Roman" w:hAnsi="Times New Roman" w:cs="Times New Roman"/>
          <w:sz w:val="24"/>
          <w:szCs w:val="24"/>
        </w:rPr>
        <w:t>hovered</w:t>
      </w:r>
      <w:r w:rsidRPr="0042152F">
        <w:rPr>
          <w:rFonts w:ascii="Times New Roman" w:hAnsi="Times New Roman" w:cs="Times New Roman"/>
          <w:sz w:val="24"/>
          <w:szCs w:val="24"/>
        </w:rPr>
        <w:t xml:space="preserve"> around $17 a share. Only </w:t>
      </w:r>
      <w:r w:rsidR="0010137F" w:rsidRPr="0042152F">
        <w:rPr>
          <w:rFonts w:ascii="Times New Roman" w:hAnsi="Times New Roman" w:cs="Times New Roman"/>
          <w:sz w:val="24"/>
          <w:szCs w:val="24"/>
        </w:rPr>
        <w:t>o</w:t>
      </w:r>
      <w:r w:rsidRPr="0042152F">
        <w:rPr>
          <w:rFonts w:ascii="Times New Roman" w:hAnsi="Times New Roman" w:cs="Times New Roman"/>
          <w:sz w:val="24"/>
          <w:szCs w:val="24"/>
        </w:rPr>
        <w:t>n December 1</w:t>
      </w:r>
      <w:r w:rsidR="00D84084" w:rsidRPr="0042152F">
        <w:rPr>
          <w:rFonts w:ascii="Times New Roman" w:hAnsi="Times New Roman" w:cs="Times New Roman"/>
          <w:sz w:val="24"/>
          <w:szCs w:val="24"/>
        </w:rPr>
        <w:t>1,</w:t>
      </w:r>
      <w:r w:rsidRPr="0042152F">
        <w:rPr>
          <w:rFonts w:ascii="Times New Roman" w:hAnsi="Times New Roman" w:cs="Times New Roman"/>
          <w:sz w:val="24"/>
          <w:szCs w:val="24"/>
        </w:rPr>
        <w:t xml:space="preserve"> 2019 did the stock price return to $23.51 a share, finally matching the price of the stock two years earlier when the plan was announced. Musk himself described this period as “incredibility difficult and painful” to the point where he was “sleeping on the floor of the factory” as he tried to solve the production delays.</w:t>
      </w:r>
      <w:r w:rsidRPr="0042152F">
        <w:rPr>
          <w:rFonts w:ascii="Times New Roman" w:hAnsi="Times New Roman" w:cs="Times New Roman"/>
          <w:sz w:val="24"/>
          <w:szCs w:val="24"/>
          <w:vertAlign w:val="superscript"/>
        </w:rPr>
        <w:footnoteReference w:id="174"/>
      </w:r>
      <w:r w:rsidRPr="0042152F">
        <w:rPr>
          <w:rFonts w:ascii="Times New Roman" w:hAnsi="Times New Roman" w:cs="Times New Roman"/>
          <w:sz w:val="24"/>
          <w:szCs w:val="24"/>
        </w:rPr>
        <w:t xml:space="preserve"> And in the interim, as Musk tried to turn around Tesla’s outlook </w:t>
      </w:r>
      <w:r w:rsidR="003F6B97">
        <w:rPr>
          <w:rFonts w:ascii="Times New Roman" w:hAnsi="Times New Roman" w:cs="Times New Roman"/>
          <w:sz w:val="24"/>
          <w:szCs w:val="24"/>
        </w:rPr>
        <w:t>and</w:t>
      </w:r>
      <w:r w:rsidRPr="0042152F">
        <w:rPr>
          <w:rFonts w:ascii="Times New Roman" w:hAnsi="Times New Roman" w:cs="Times New Roman"/>
          <w:sz w:val="24"/>
          <w:szCs w:val="24"/>
        </w:rPr>
        <w:t xml:space="preserve"> achieve the hugely ambitious goals set out in the compensation plan, he was receiving no guaranteed compensation of any kind.</w:t>
      </w:r>
      <w:r w:rsidRPr="0042152F">
        <w:rPr>
          <w:rFonts w:ascii="Times New Roman" w:hAnsi="Times New Roman" w:cs="Times New Roman"/>
          <w:sz w:val="24"/>
          <w:szCs w:val="24"/>
          <w:vertAlign w:val="superscript"/>
        </w:rPr>
        <w:footnoteReference w:id="175"/>
      </w:r>
      <w:r w:rsidRPr="0042152F">
        <w:rPr>
          <w:rFonts w:ascii="Times New Roman" w:hAnsi="Times New Roman" w:cs="Times New Roman"/>
          <w:sz w:val="24"/>
          <w:szCs w:val="24"/>
        </w:rPr>
        <w:t xml:space="preserve"> </w:t>
      </w:r>
    </w:p>
    <w:p w14:paraId="29AA6858" w14:textId="4B08CBAE" w:rsidR="00E35955" w:rsidRPr="0042152F" w:rsidRDefault="00E35955"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Of course, we know what happened next—Tesla’s stock price continued to ascend after December 2019, ultimately making it the world’s most valuable car company by November 2021</w:t>
      </w:r>
      <w:r w:rsidR="00CA2788" w:rsidRPr="0042152F">
        <w:rPr>
          <w:rFonts w:ascii="Times New Roman" w:hAnsi="Times New Roman" w:cs="Times New Roman"/>
          <w:sz w:val="24"/>
          <w:szCs w:val="24"/>
        </w:rPr>
        <w:t>.</w:t>
      </w:r>
      <w:r w:rsidRPr="0042152F">
        <w:rPr>
          <w:rStyle w:val="FootnoteReference"/>
          <w:rFonts w:ascii="Times New Roman" w:hAnsi="Times New Roman" w:cs="Times New Roman"/>
          <w:sz w:val="24"/>
          <w:szCs w:val="24"/>
        </w:rPr>
        <w:footnoteReference w:id="176"/>
      </w:r>
      <w:r w:rsidRPr="0042152F">
        <w:rPr>
          <w:rFonts w:ascii="Times New Roman" w:hAnsi="Times New Roman" w:cs="Times New Roman"/>
          <w:sz w:val="24"/>
          <w:szCs w:val="24"/>
        </w:rPr>
        <w:t xml:space="preserve"> Around this time, the court heard arguments in the case challenging Musk’s compensation, by which point Musk had already achieved the final milestone. Thus, although Tesla stockholder Richard Tornetta filed suit shortly after the plan’s adoption,</w:t>
      </w:r>
      <w:r w:rsidRPr="0042152F">
        <w:rPr>
          <w:rFonts w:ascii="Times New Roman" w:hAnsi="Times New Roman" w:cs="Times New Roman"/>
          <w:sz w:val="24"/>
          <w:szCs w:val="24"/>
          <w:vertAlign w:val="superscript"/>
        </w:rPr>
        <w:footnoteReference w:id="177"/>
      </w:r>
      <w:r w:rsidRPr="0042152F">
        <w:rPr>
          <w:rFonts w:ascii="Times New Roman" w:hAnsi="Times New Roman" w:cs="Times New Roman"/>
          <w:sz w:val="24"/>
          <w:szCs w:val="24"/>
        </w:rPr>
        <w:t xml:space="preserve"> the case was litigated only after Musk had earned the stock grants</w:t>
      </w:r>
      <w:r w:rsidR="00FF4BD8" w:rsidRPr="0042152F">
        <w:rPr>
          <w:rFonts w:ascii="Times New Roman" w:hAnsi="Times New Roman" w:cs="Times New Roman"/>
          <w:sz w:val="24"/>
          <w:szCs w:val="24"/>
        </w:rPr>
        <w:t xml:space="preserve">, </w:t>
      </w:r>
      <w:r w:rsidR="00E54B50">
        <w:rPr>
          <w:rFonts w:ascii="Times New Roman" w:hAnsi="Times New Roman" w:cs="Times New Roman"/>
          <w:sz w:val="24"/>
          <w:szCs w:val="24"/>
        </w:rPr>
        <w:t xml:space="preserve">and </w:t>
      </w:r>
      <w:r w:rsidR="00FF4BD8" w:rsidRPr="0042152F">
        <w:rPr>
          <w:rFonts w:ascii="Times New Roman" w:hAnsi="Times New Roman" w:cs="Times New Roman"/>
          <w:sz w:val="24"/>
          <w:szCs w:val="24"/>
        </w:rPr>
        <w:t>not when they were in serious doubt</w:t>
      </w:r>
      <w:r w:rsidRPr="0042152F">
        <w:rPr>
          <w:rFonts w:ascii="Times New Roman" w:hAnsi="Times New Roman" w:cs="Times New Roman"/>
          <w:sz w:val="24"/>
          <w:szCs w:val="24"/>
        </w:rPr>
        <w:t>.</w:t>
      </w:r>
    </w:p>
    <w:p w14:paraId="14591E37" w14:textId="2FBDD426" w:rsidR="00E35955" w:rsidRPr="0042152F" w:rsidRDefault="00E35955"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The Court of Chancery issued its opinion rescinding the grants in </w:t>
      </w:r>
      <w:r w:rsidR="00C85E03" w:rsidRPr="0042152F">
        <w:rPr>
          <w:rFonts w:ascii="Times New Roman" w:hAnsi="Times New Roman" w:cs="Times New Roman"/>
          <w:sz w:val="24"/>
          <w:szCs w:val="24"/>
        </w:rPr>
        <w:t xml:space="preserve">January </w:t>
      </w:r>
      <w:r w:rsidRPr="0042152F">
        <w:rPr>
          <w:rFonts w:ascii="Times New Roman" w:hAnsi="Times New Roman" w:cs="Times New Roman"/>
          <w:sz w:val="24"/>
          <w:szCs w:val="24"/>
        </w:rPr>
        <w:t xml:space="preserve">2024, concluding </w:t>
      </w:r>
      <w:r w:rsidR="00475060" w:rsidRPr="0042152F">
        <w:rPr>
          <w:rFonts w:ascii="Times New Roman" w:hAnsi="Times New Roman" w:cs="Times New Roman"/>
          <w:sz w:val="24"/>
          <w:szCs w:val="24"/>
        </w:rPr>
        <w:t xml:space="preserve">that Musk was a controlling shareholder with respect to the compensation plan and </w:t>
      </w:r>
      <w:r w:rsidRPr="0042152F">
        <w:rPr>
          <w:rFonts w:ascii="Times New Roman" w:hAnsi="Times New Roman" w:cs="Times New Roman"/>
          <w:sz w:val="24"/>
          <w:szCs w:val="24"/>
        </w:rPr>
        <w:t xml:space="preserve">that </w:t>
      </w:r>
      <w:r w:rsidR="00475060" w:rsidRPr="0042152F">
        <w:rPr>
          <w:rFonts w:ascii="Times New Roman" w:hAnsi="Times New Roman" w:cs="Times New Roman"/>
          <w:sz w:val="24"/>
          <w:szCs w:val="24"/>
        </w:rPr>
        <w:t>he did not meet his burden to establish the fairness of the transaction</w:t>
      </w:r>
      <w:r w:rsidRPr="0042152F">
        <w:rPr>
          <w:rFonts w:ascii="Times New Roman" w:hAnsi="Times New Roman" w:cs="Times New Roman"/>
          <w:sz w:val="24"/>
          <w:szCs w:val="24"/>
        </w:rPr>
        <w:t>.</w:t>
      </w:r>
      <w:r w:rsidRPr="0042152F">
        <w:rPr>
          <w:rStyle w:val="FootnoteReference"/>
          <w:rFonts w:ascii="Times New Roman" w:hAnsi="Times New Roman" w:cs="Times New Roman"/>
          <w:sz w:val="24"/>
          <w:szCs w:val="24"/>
        </w:rPr>
        <w:footnoteReference w:id="178"/>
      </w:r>
      <w:r w:rsidRPr="0042152F">
        <w:rPr>
          <w:rFonts w:ascii="Times New Roman" w:hAnsi="Times New Roman" w:cs="Times New Roman"/>
          <w:sz w:val="24"/>
          <w:szCs w:val="24"/>
        </w:rPr>
        <w:t xml:space="preserve"> </w:t>
      </w:r>
      <w:r w:rsidR="003E3B21" w:rsidRPr="0042152F">
        <w:rPr>
          <w:rFonts w:ascii="Times New Roman" w:hAnsi="Times New Roman" w:cs="Times New Roman"/>
          <w:sz w:val="24"/>
          <w:szCs w:val="24"/>
        </w:rPr>
        <w:t>A</w:t>
      </w:r>
      <w:r w:rsidR="00C750BF">
        <w:rPr>
          <w:rFonts w:ascii="Times New Roman" w:hAnsi="Times New Roman" w:cs="Times New Roman"/>
          <w:sz w:val="24"/>
          <w:szCs w:val="24"/>
        </w:rPr>
        <w:t>fter losing an earlier motion to dismiss</w:t>
      </w:r>
      <w:r w:rsidR="003E3B21" w:rsidRPr="0042152F">
        <w:rPr>
          <w:rFonts w:ascii="Times New Roman" w:hAnsi="Times New Roman" w:cs="Times New Roman"/>
          <w:sz w:val="24"/>
          <w:szCs w:val="24"/>
        </w:rPr>
        <w:t xml:space="preserve">, </w:t>
      </w:r>
      <w:r w:rsidR="00475060" w:rsidRPr="0042152F">
        <w:rPr>
          <w:rFonts w:ascii="Times New Roman" w:hAnsi="Times New Roman" w:cs="Times New Roman"/>
          <w:sz w:val="24"/>
          <w:szCs w:val="24"/>
        </w:rPr>
        <w:t xml:space="preserve">Musk conceded that </w:t>
      </w:r>
      <w:r w:rsidR="00475060" w:rsidRPr="0042152F">
        <w:rPr>
          <w:rFonts w:ascii="Times New Roman" w:hAnsi="Times New Roman" w:cs="Times New Roman"/>
          <w:i/>
          <w:iCs/>
          <w:sz w:val="24"/>
          <w:szCs w:val="24"/>
        </w:rPr>
        <w:t xml:space="preserve">MFW </w:t>
      </w:r>
      <w:r w:rsidR="00475060" w:rsidRPr="0042152F">
        <w:rPr>
          <w:rFonts w:ascii="Times New Roman" w:hAnsi="Times New Roman" w:cs="Times New Roman"/>
          <w:sz w:val="24"/>
          <w:szCs w:val="24"/>
        </w:rPr>
        <w:t xml:space="preserve">was not satisfied because the </w:t>
      </w:r>
      <w:r w:rsidR="00DB4235" w:rsidRPr="0042152F">
        <w:rPr>
          <w:rFonts w:ascii="Times New Roman" w:hAnsi="Times New Roman" w:cs="Times New Roman"/>
          <w:sz w:val="24"/>
          <w:szCs w:val="24"/>
        </w:rPr>
        <w:t>company did not use</w:t>
      </w:r>
      <w:r w:rsidR="00475060" w:rsidRPr="0042152F">
        <w:rPr>
          <w:rFonts w:ascii="Times New Roman" w:hAnsi="Times New Roman" w:cs="Times New Roman"/>
          <w:sz w:val="24"/>
          <w:szCs w:val="24"/>
        </w:rPr>
        <w:t xml:space="preserve"> a special </w:t>
      </w:r>
      <w:r w:rsidR="00DB4235" w:rsidRPr="0042152F">
        <w:rPr>
          <w:rFonts w:ascii="Times New Roman" w:hAnsi="Times New Roman" w:cs="Times New Roman"/>
          <w:sz w:val="24"/>
          <w:szCs w:val="24"/>
        </w:rPr>
        <w:lastRenderedPageBreak/>
        <w:t xml:space="preserve">negotiating </w:t>
      </w:r>
      <w:r w:rsidR="00475060" w:rsidRPr="0042152F">
        <w:rPr>
          <w:rFonts w:ascii="Times New Roman" w:hAnsi="Times New Roman" w:cs="Times New Roman"/>
          <w:sz w:val="24"/>
          <w:szCs w:val="24"/>
        </w:rPr>
        <w:t>committee</w:t>
      </w:r>
      <w:r w:rsidRPr="0042152F">
        <w:rPr>
          <w:rFonts w:ascii="Times New Roman" w:hAnsi="Times New Roman" w:cs="Times New Roman"/>
          <w:sz w:val="24"/>
          <w:szCs w:val="24"/>
        </w:rPr>
        <w:t>.</w:t>
      </w:r>
      <w:r w:rsidRPr="0042152F">
        <w:rPr>
          <w:rStyle w:val="FootnoteReference"/>
          <w:rFonts w:ascii="Times New Roman" w:hAnsi="Times New Roman" w:cs="Times New Roman"/>
          <w:sz w:val="24"/>
          <w:szCs w:val="24"/>
        </w:rPr>
        <w:footnoteReference w:id="179"/>
      </w:r>
      <w:r w:rsidRPr="0042152F">
        <w:rPr>
          <w:rFonts w:ascii="Times New Roman" w:hAnsi="Times New Roman" w:cs="Times New Roman"/>
          <w:sz w:val="24"/>
          <w:szCs w:val="24"/>
        </w:rPr>
        <w:t xml:space="preserve"> Instead, </w:t>
      </w:r>
      <w:r w:rsidR="00475060" w:rsidRPr="0042152F">
        <w:rPr>
          <w:rFonts w:ascii="Times New Roman" w:hAnsi="Times New Roman" w:cs="Times New Roman"/>
          <w:sz w:val="24"/>
          <w:szCs w:val="24"/>
        </w:rPr>
        <w:t>Musk</w:t>
      </w:r>
      <w:r w:rsidRPr="0042152F">
        <w:rPr>
          <w:rFonts w:ascii="Times New Roman" w:hAnsi="Times New Roman" w:cs="Times New Roman"/>
          <w:sz w:val="24"/>
          <w:szCs w:val="24"/>
        </w:rPr>
        <w:t xml:space="preserve"> argued for a burden shift</w:t>
      </w:r>
      <w:r w:rsidR="00E54B50">
        <w:rPr>
          <w:rFonts w:ascii="Times New Roman" w:hAnsi="Times New Roman" w:cs="Times New Roman"/>
          <w:sz w:val="24"/>
          <w:szCs w:val="24"/>
        </w:rPr>
        <w:t xml:space="preserve"> on the grounds that the</w:t>
      </w:r>
      <w:r w:rsidRPr="0042152F">
        <w:rPr>
          <w:rFonts w:ascii="Times New Roman" w:hAnsi="Times New Roman" w:cs="Times New Roman"/>
          <w:sz w:val="24"/>
          <w:szCs w:val="24"/>
        </w:rPr>
        <w:t xml:space="preserve"> board had conditioned the implementation of the plan on garnering the support of a majority of the minority shareholders.</w:t>
      </w:r>
      <w:r w:rsidRPr="0042152F">
        <w:rPr>
          <w:rFonts w:ascii="Times New Roman" w:hAnsi="Times New Roman" w:cs="Times New Roman"/>
          <w:sz w:val="24"/>
          <w:szCs w:val="24"/>
          <w:vertAlign w:val="superscript"/>
        </w:rPr>
        <w:footnoteReference w:id="180"/>
      </w:r>
      <w:r w:rsidRPr="0042152F">
        <w:rPr>
          <w:rFonts w:ascii="Times New Roman" w:hAnsi="Times New Roman" w:cs="Times New Roman"/>
          <w:sz w:val="24"/>
          <w:szCs w:val="24"/>
        </w:rPr>
        <w:t xml:space="preserve"> Notably, 73% of shareholders—excluding Musk, who did not vote his shares—approved the plan, which allowed it to go into effect.</w:t>
      </w:r>
      <w:r w:rsidRPr="0042152F">
        <w:rPr>
          <w:rFonts w:ascii="Times New Roman" w:hAnsi="Times New Roman" w:cs="Times New Roman"/>
          <w:sz w:val="24"/>
          <w:szCs w:val="24"/>
          <w:vertAlign w:val="superscript"/>
        </w:rPr>
        <w:footnoteReference w:id="181"/>
      </w:r>
    </w:p>
    <w:p w14:paraId="567648E5" w14:textId="1A61A4C1" w:rsidR="006563A5" w:rsidRPr="0042152F" w:rsidRDefault="004B47F1"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discussed in the previous Part, u</w:t>
      </w:r>
      <w:r w:rsidRPr="0042152F">
        <w:rPr>
          <w:rFonts w:ascii="Times New Roman" w:hAnsi="Times New Roman" w:cs="Times New Roman"/>
          <w:sz w:val="24"/>
          <w:szCs w:val="24"/>
        </w:rPr>
        <w:t xml:space="preserve">nder </w:t>
      </w:r>
      <w:r w:rsidR="007F1EF2" w:rsidRPr="0042152F">
        <w:rPr>
          <w:rFonts w:ascii="Times New Roman" w:hAnsi="Times New Roman" w:cs="Times New Roman"/>
          <w:sz w:val="24"/>
          <w:szCs w:val="24"/>
        </w:rPr>
        <w:t xml:space="preserve">entire fairness, the court </w:t>
      </w:r>
      <w:r>
        <w:rPr>
          <w:rFonts w:ascii="Times New Roman" w:hAnsi="Times New Roman" w:cs="Times New Roman"/>
          <w:sz w:val="24"/>
          <w:szCs w:val="24"/>
        </w:rPr>
        <w:t>evaluates</w:t>
      </w:r>
      <w:r w:rsidR="0099504C" w:rsidRPr="0042152F">
        <w:rPr>
          <w:rFonts w:ascii="Times New Roman" w:hAnsi="Times New Roman" w:cs="Times New Roman"/>
          <w:sz w:val="24"/>
          <w:szCs w:val="24"/>
        </w:rPr>
        <w:t xml:space="preserve"> whether the “price” of a self-dealing transaction is fair. </w:t>
      </w:r>
      <w:r>
        <w:rPr>
          <w:rFonts w:ascii="Times New Roman" w:hAnsi="Times New Roman" w:cs="Times New Roman"/>
          <w:sz w:val="24"/>
          <w:szCs w:val="24"/>
        </w:rPr>
        <w:t>Admirably i</w:t>
      </w:r>
      <w:r w:rsidR="00117D47" w:rsidRPr="0042152F">
        <w:rPr>
          <w:rFonts w:ascii="Times New Roman" w:hAnsi="Times New Roman" w:cs="Times New Roman"/>
          <w:sz w:val="24"/>
          <w:szCs w:val="24"/>
        </w:rPr>
        <w:t xml:space="preserve">n this case, </w:t>
      </w:r>
      <w:r>
        <w:rPr>
          <w:rFonts w:ascii="Times New Roman" w:hAnsi="Times New Roman" w:cs="Times New Roman"/>
          <w:sz w:val="24"/>
          <w:szCs w:val="24"/>
        </w:rPr>
        <w:t>t</w:t>
      </w:r>
      <w:r w:rsidR="004171DA" w:rsidRPr="0042152F">
        <w:rPr>
          <w:rFonts w:ascii="Times New Roman" w:hAnsi="Times New Roman" w:cs="Times New Roman"/>
          <w:sz w:val="24"/>
          <w:szCs w:val="24"/>
        </w:rPr>
        <w:t>he court</w:t>
      </w:r>
      <w:r w:rsidR="003E7032">
        <w:rPr>
          <w:rFonts w:ascii="Times New Roman" w:hAnsi="Times New Roman" w:cs="Times New Roman"/>
          <w:sz w:val="24"/>
          <w:szCs w:val="24"/>
        </w:rPr>
        <w:t xml:space="preserve"> </w:t>
      </w:r>
      <w:r w:rsidR="00C1412B" w:rsidRPr="0042152F">
        <w:rPr>
          <w:rFonts w:ascii="Times New Roman" w:hAnsi="Times New Roman" w:cs="Times New Roman"/>
          <w:sz w:val="24"/>
          <w:szCs w:val="24"/>
        </w:rPr>
        <w:t xml:space="preserve">did not attempt </w:t>
      </w:r>
      <w:r w:rsidR="00453A75">
        <w:rPr>
          <w:rFonts w:ascii="Times New Roman" w:hAnsi="Times New Roman" w:cs="Times New Roman"/>
          <w:sz w:val="24"/>
          <w:szCs w:val="24"/>
        </w:rPr>
        <w:t xml:space="preserve">to </w:t>
      </w:r>
      <w:r w:rsidR="00AF4669">
        <w:rPr>
          <w:rFonts w:ascii="Times New Roman" w:hAnsi="Times New Roman" w:cs="Times New Roman"/>
          <w:sz w:val="24"/>
          <w:szCs w:val="24"/>
        </w:rPr>
        <w:t>value</w:t>
      </w:r>
      <w:r w:rsidR="00C1412B" w:rsidRPr="0042152F">
        <w:rPr>
          <w:rFonts w:ascii="Times New Roman" w:hAnsi="Times New Roman" w:cs="Times New Roman"/>
          <w:sz w:val="24"/>
          <w:szCs w:val="24"/>
        </w:rPr>
        <w:t xml:space="preserve"> Musk’s </w:t>
      </w:r>
      <w:r w:rsidR="004171DA" w:rsidRPr="0042152F">
        <w:rPr>
          <w:rFonts w:ascii="Times New Roman" w:hAnsi="Times New Roman" w:cs="Times New Roman"/>
          <w:sz w:val="24"/>
          <w:szCs w:val="24"/>
        </w:rPr>
        <w:t>vision and its singular contribution to Tesla</w:t>
      </w:r>
      <w:r w:rsidR="00C1412B" w:rsidRPr="0042152F">
        <w:rPr>
          <w:rFonts w:ascii="Times New Roman" w:hAnsi="Times New Roman" w:cs="Times New Roman"/>
          <w:sz w:val="24"/>
          <w:szCs w:val="24"/>
        </w:rPr>
        <w:t xml:space="preserve"> during this period</w:t>
      </w:r>
      <w:r>
        <w:rPr>
          <w:rFonts w:ascii="Times New Roman" w:hAnsi="Times New Roman" w:cs="Times New Roman"/>
          <w:sz w:val="24"/>
          <w:szCs w:val="24"/>
        </w:rPr>
        <w:t>, an impossible task</w:t>
      </w:r>
      <w:r w:rsidR="00C1412B" w:rsidRPr="0042152F">
        <w:rPr>
          <w:rFonts w:ascii="Times New Roman" w:hAnsi="Times New Roman" w:cs="Times New Roman"/>
          <w:sz w:val="24"/>
          <w:szCs w:val="24"/>
        </w:rPr>
        <w:t>. But herein lies the quand</w:t>
      </w:r>
      <w:r w:rsidR="004171DA" w:rsidRPr="0042152F">
        <w:rPr>
          <w:rFonts w:ascii="Times New Roman" w:hAnsi="Times New Roman" w:cs="Times New Roman"/>
          <w:sz w:val="24"/>
          <w:szCs w:val="24"/>
        </w:rPr>
        <w:t>ar</w:t>
      </w:r>
      <w:r w:rsidR="00C1412B" w:rsidRPr="0042152F">
        <w:rPr>
          <w:rFonts w:ascii="Times New Roman" w:hAnsi="Times New Roman" w:cs="Times New Roman"/>
          <w:sz w:val="24"/>
          <w:szCs w:val="24"/>
        </w:rPr>
        <w:t xml:space="preserve">y—without some </w:t>
      </w:r>
      <w:r w:rsidR="004171DA" w:rsidRPr="0042152F">
        <w:rPr>
          <w:rFonts w:ascii="Times New Roman" w:hAnsi="Times New Roman" w:cs="Times New Roman"/>
          <w:sz w:val="24"/>
          <w:szCs w:val="24"/>
        </w:rPr>
        <w:t xml:space="preserve">reliable </w:t>
      </w:r>
      <w:r w:rsidR="00C1412B" w:rsidRPr="0042152F">
        <w:rPr>
          <w:rFonts w:ascii="Times New Roman" w:hAnsi="Times New Roman" w:cs="Times New Roman"/>
          <w:sz w:val="24"/>
          <w:szCs w:val="24"/>
        </w:rPr>
        <w:t xml:space="preserve">estimate or measure of value, how could the court determine whether the price was fair? How could it even begin to </w:t>
      </w:r>
      <w:r w:rsidR="00664A5A">
        <w:rPr>
          <w:rFonts w:ascii="Times New Roman" w:hAnsi="Times New Roman" w:cs="Times New Roman"/>
          <w:sz w:val="24"/>
          <w:szCs w:val="24"/>
        </w:rPr>
        <w:t>assess</w:t>
      </w:r>
      <w:r w:rsidR="00C1412B" w:rsidRPr="0042152F">
        <w:rPr>
          <w:rFonts w:ascii="Times New Roman" w:hAnsi="Times New Roman" w:cs="Times New Roman"/>
          <w:sz w:val="24"/>
          <w:szCs w:val="24"/>
        </w:rPr>
        <w:t xml:space="preserve"> whether the price fell within a range of fairness?</w:t>
      </w:r>
      <w:r w:rsidR="00C1412B" w:rsidRPr="0042152F">
        <w:rPr>
          <w:rStyle w:val="FootnoteReference"/>
          <w:rFonts w:ascii="Times New Roman" w:hAnsi="Times New Roman" w:cs="Times New Roman"/>
          <w:sz w:val="24"/>
          <w:szCs w:val="24"/>
        </w:rPr>
        <w:footnoteReference w:id="182"/>
      </w:r>
      <w:r w:rsidR="00C1412B" w:rsidRPr="0042152F">
        <w:rPr>
          <w:rFonts w:ascii="Times New Roman" w:hAnsi="Times New Roman" w:cs="Times New Roman"/>
          <w:sz w:val="24"/>
          <w:szCs w:val="24"/>
        </w:rPr>
        <w:t xml:space="preserve"> </w:t>
      </w:r>
    </w:p>
    <w:p w14:paraId="5D5BE043" w14:textId="28508094" w:rsidR="00F64FD9" w:rsidRPr="0042152F" w:rsidRDefault="008016EB"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One way </w:t>
      </w:r>
      <w:r w:rsidR="001F24F1" w:rsidRPr="0042152F">
        <w:rPr>
          <w:rFonts w:ascii="Times New Roman" w:hAnsi="Times New Roman" w:cs="Times New Roman"/>
          <w:sz w:val="24"/>
          <w:szCs w:val="24"/>
        </w:rPr>
        <w:t xml:space="preserve">to resolve this difficulty is </w:t>
      </w:r>
      <w:r w:rsidR="00C72421">
        <w:rPr>
          <w:rFonts w:ascii="Times New Roman" w:hAnsi="Times New Roman" w:cs="Times New Roman"/>
          <w:sz w:val="24"/>
          <w:szCs w:val="24"/>
        </w:rPr>
        <w:t xml:space="preserve">to </w:t>
      </w:r>
      <w:r w:rsidR="001F24F1" w:rsidRPr="0042152F">
        <w:rPr>
          <w:rFonts w:ascii="Times New Roman" w:hAnsi="Times New Roman" w:cs="Times New Roman"/>
          <w:sz w:val="24"/>
          <w:szCs w:val="24"/>
        </w:rPr>
        <w:t xml:space="preserve">rely on the disinterested shareholder vote as a strong indication of fair price. </w:t>
      </w:r>
      <w:r w:rsidR="00475060" w:rsidRPr="0042152F">
        <w:rPr>
          <w:rFonts w:ascii="Times New Roman" w:hAnsi="Times New Roman" w:cs="Times New Roman"/>
          <w:sz w:val="24"/>
          <w:szCs w:val="24"/>
        </w:rPr>
        <w:t>The</w:t>
      </w:r>
      <w:r w:rsidR="00C85E03" w:rsidRPr="0042152F">
        <w:rPr>
          <w:rFonts w:ascii="Times New Roman" w:hAnsi="Times New Roman" w:cs="Times New Roman"/>
          <w:sz w:val="24"/>
          <w:szCs w:val="24"/>
        </w:rPr>
        <w:t xml:space="preserve"> </w:t>
      </w:r>
      <w:r w:rsidR="00394428" w:rsidRPr="0042152F">
        <w:rPr>
          <w:rFonts w:ascii="Times New Roman" w:hAnsi="Times New Roman" w:cs="Times New Roman"/>
          <w:sz w:val="24"/>
          <w:szCs w:val="24"/>
        </w:rPr>
        <w:t>court</w:t>
      </w:r>
      <w:r w:rsidR="001F24F1" w:rsidRPr="0042152F">
        <w:rPr>
          <w:rFonts w:ascii="Times New Roman" w:hAnsi="Times New Roman" w:cs="Times New Roman"/>
          <w:sz w:val="24"/>
          <w:szCs w:val="24"/>
        </w:rPr>
        <w:t>, however,</w:t>
      </w:r>
      <w:r w:rsidR="00394428" w:rsidRPr="0042152F">
        <w:rPr>
          <w:rFonts w:ascii="Times New Roman" w:hAnsi="Times New Roman" w:cs="Times New Roman"/>
          <w:sz w:val="24"/>
          <w:szCs w:val="24"/>
        </w:rPr>
        <w:t xml:space="preserve"> ultimately</w:t>
      </w:r>
      <w:r w:rsidR="00692D50" w:rsidRPr="0042152F">
        <w:rPr>
          <w:rFonts w:ascii="Times New Roman" w:hAnsi="Times New Roman" w:cs="Times New Roman"/>
          <w:sz w:val="24"/>
          <w:szCs w:val="24"/>
        </w:rPr>
        <w:t xml:space="preserve"> </w:t>
      </w:r>
      <w:r w:rsidR="00CF034B" w:rsidRPr="0042152F">
        <w:rPr>
          <w:rFonts w:ascii="Times New Roman" w:hAnsi="Times New Roman" w:cs="Times New Roman"/>
          <w:sz w:val="24"/>
          <w:szCs w:val="24"/>
        </w:rPr>
        <w:t xml:space="preserve">gave no credit to the shareholder vote </w:t>
      </w:r>
      <w:r w:rsidR="00B14D45">
        <w:rPr>
          <w:rFonts w:ascii="Times New Roman" w:hAnsi="Times New Roman" w:cs="Times New Roman"/>
          <w:sz w:val="24"/>
          <w:szCs w:val="24"/>
        </w:rPr>
        <w:t>after</w:t>
      </w:r>
      <w:r w:rsidR="00B14D45" w:rsidRPr="0042152F">
        <w:rPr>
          <w:rFonts w:ascii="Times New Roman" w:hAnsi="Times New Roman" w:cs="Times New Roman"/>
          <w:sz w:val="24"/>
          <w:szCs w:val="24"/>
        </w:rPr>
        <w:t xml:space="preserve"> </w:t>
      </w:r>
      <w:r w:rsidR="00CF034B" w:rsidRPr="0042152F">
        <w:rPr>
          <w:rFonts w:ascii="Times New Roman" w:hAnsi="Times New Roman" w:cs="Times New Roman"/>
          <w:sz w:val="24"/>
          <w:szCs w:val="24"/>
        </w:rPr>
        <w:t>it</w:t>
      </w:r>
      <w:r w:rsidR="00F64FD9" w:rsidRPr="0042152F">
        <w:rPr>
          <w:rFonts w:ascii="Times New Roman" w:hAnsi="Times New Roman" w:cs="Times New Roman"/>
          <w:sz w:val="24"/>
          <w:szCs w:val="24"/>
        </w:rPr>
        <w:t xml:space="preserve"> found</w:t>
      </w:r>
      <w:r w:rsidR="00F06DD3" w:rsidRPr="0042152F">
        <w:rPr>
          <w:rFonts w:ascii="Times New Roman" w:hAnsi="Times New Roman" w:cs="Times New Roman"/>
          <w:sz w:val="24"/>
          <w:szCs w:val="24"/>
        </w:rPr>
        <w:t xml:space="preserve"> that</w:t>
      </w:r>
      <w:r w:rsidR="00F64FD9" w:rsidRPr="0042152F">
        <w:rPr>
          <w:rFonts w:ascii="Times New Roman" w:hAnsi="Times New Roman" w:cs="Times New Roman"/>
          <w:sz w:val="24"/>
          <w:szCs w:val="24"/>
        </w:rPr>
        <w:t xml:space="preserve"> the </w:t>
      </w:r>
      <w:r w:rsidR="008F7AEA">
        <w:rPr>
          <w:rFonts w:ascii="Times New Roman" w:hAnsi="Times New Roman" w:cs="Times New Roman"/>
          <w:sz w:val="24"/>
          <w:szCs w:val="24"/>
        </w:rPr>
        <w:t xml:space="preserve">disclosure was flawed </w:t>
      </w:r>
      <w:r w:rsidR="00185DDA">
        <w:rPr>
          <w:rFonts w:ascii="Times New Roman" w:hAnsi="Times New Roman" w:cs="Times New Roman"/>
          <w:sz w:val="24"/>
          <w:szCs w:val="24"/>
        </w:rPr>
        <w:t xml:space="preserve">primarily </w:t>
      </w:r>
      <w:r w:rsidR="008F7AEA">
        <w:rPr>
          <w:rFonts w:ascii="Times New Roman" w:hAnsi="Times New Roman" w:cs="Times New Roman"/>
          <w:sz w:val="24"/>
          <w:szCs w:val="24"/>
        </w:rPr>
        <w:t xml:space="preserve">because the </w:t>
      </w:r>
      <w:r w:rsidR="00F64FD9" w:rsidRPr="0042152F">
        <w:rPr>
          <w:rFonts w:ascii="Times New Roman" w:hAnsi="Times New Roman" w:cs="Times New Roman"/>
          <w:sz w:val="24"/>
          <w:szCs w:val="24"/>
        </w:rPr>
        <w:t xml:space="preserve">proxy </w:t>
      </w:r>
      <w:r w:rsidR="00F06DD3" w:rsidRPr="0042152F">
        <w:rPr>
          <w:rFonts w:ascii="Times New Roman" w:hAnsi="Times New Roman" w:cs="Times New Roman"/>
          <w:sz w:val="24"/>
          <w:szCs w:val="24"/>
        </w:rPr>
        <w:t xml:space="preserve">statement </w:t>
      </w:r>
      <w:r w:rsidR="00F64FD9" w:rsidRPr="0042152F">
        <w:rPr>
          <w:rFonts w:ascii="Times New Roman" w:hAnsi="Times New Roman" w:cs="Times New Roman"/>
          <w:sz w:val="24"/>
          <w:szCs w:val="24"/>
        </w:rPr>
        <w:t xml:space="preserve">did not disclose </w:t>
      </w:r>
      <w:r w:rsidR="008F7AEA">
        <w:rPr>
          <w:rFonts w:ascii="Times New Roman" w:hAnsi="Times New Roman" w:cs="Times New Roman"/>
          <w:sz w:val="24"/>
          <w:szCs w:val="24"/>
        </w:rPr>
        <w:t xml:space="preserve">to the shareholders </w:t>
      </w:r>
      <w:r w:rsidR="00F64FD9" w:rsidRPr="0042152F">
        <w:rPr>
          <w:rFonts w:ascii="Times New Roman" w:hAnsi="Times New Roman" w:cs="Times New Roman"/>
          <w:sz w:val="24"/>
          <w:szCs w:val="24"/>
        </w:rPr>
        <w:t xml:space="preserve">that </w:t>
      </w:r>
      <w:r w:rsidR="00415380" w:rsidRPr="0042152F">
        <w:rPr>
          <w:rFonts w:ascii="Times New Roman" w:hAnsi="Times New Roman" w:cs="Times New Roman"/>
          <w:sz w:val="24"/>
          <w:szCs w:val="24"/>
        </w:rPr>
        <w:t>the</w:t>
      </w:r>
      <w:r w:rsidR="00F64FD9" w:rsidRPr="0042152F">
        <w:rPr>
          <w:rFonts w:ascii="Times New Roman" w:hAnsi="Times New Roman" w:cs="Times New Roman"/>
          <w:sz w:val="24"/>
          <w:szCs w:val="24"/>
        </w:rPr>
        <w:t xml:space="preserve"> </w:t>
      </w:r>
      <w:r w:rsidR="008F7AEA">
        <w:rPr>
          <w:rFonts w:ascii="Times New Roman" w:hAnsi="Times New Roman" w:cs="Times New Roman"/>
          <w:sz w:val="24"/>
          <w:szCs w:val="24"/>
        </w:rPr>
        <w:t xml:space="preserve">directors who negotiated the compensation package </w:t>
      </w:r>
      <w:r w:rsidR="00F64FD9" w:rsidRPr="0042152F">
        <w:rPr>
          <w:rFonts w:ascii="Times New Roman" w:hAnsi="Times New Roman" w:cs="Times New Roman"/>
          <w:sz w:val="24"/>
          <w:szCs w:val="24"/>
        </w:rPr>
        <w:t xml:space="preserve">were </w:t>
      </w:r>
      <w:r w:rsidR="00F06DD3" w:rsidRPr="0042152F">
        <w:rPr>
          <w:rFonts w:ascii="Times New Roman" w:hAnsi="Times New Roman" w:cs="Times New Roman"/>
          <w:sz w:val="24"/>
          <w:szCs w:val="24"/>
        </w:rPr>
        <w:t>conflicted</w:t>
      </w:r>
      <w:r w:rsidR="00EE4C49">
        <w:rPr>
          <w:rFonts w:ascii="Times New Roman" w:hAnsi="Times New Roman" w:cs="Times New Roman"/>
          <w:sz w:val="24"/>
          <w:szCs w:val="24"/>
        </w:rPr>
        <w:t xml:space="preserve"> and omitted material information about the compensation committee’s process</w:t>
      </w:r>
      <w:r w:rsidR="00F64FD9" w:rsidRPr="0042152F">
        <w:rPr>
          <w:rFonts w:ascii="Times New Roman" w:hAnsi="Times New Roman" w:cs="Times New Roman"/>
          <w:sz w:val="24"/>
          <w:szCs w:val="24"/>
        </w:rPr>
        <w:t>.</w:t>
      </w:r>
      <w:r w:rsidR="00F64FD9" w:rsidRPr="0042152F">
        <w:rPr>
          <w:rFonts w:ascii="Times New Roman" w:hAnsi="Times New Roman" w:cs="Times New Roman"/>
          <w:sz w:val="24"/>
          <w:szCs w:val="24"/>
          <w:vertAlign w:val="superscript"/>
        </w:rPr>
        <w:footnoteReference w:id="183"/>
      </w:r>
      <w:r w:rsidR="00F64FD9" w:rsidRPr="0042152F">
        <w:rPr>
          <w:rFonts w:ascii="Times New Roman" w:hAnsi="Times New Roman" w:cs="Times New Roman"/>
          <w:sz w:val="24"/>
          <w:szCs w:val="24"/>
        </w:rPr>
        <w:t xml:space="preserve"> </w:t>
      </w:r>
      <w:r w:rsidR="007A73B6">
        <w:rPr>
          <w:rFonts w:ascii="Times New Roman" w:hAnsi="Times New Roman" w:cs="Times New Roman"/>
          <w:sz w:val="24"/>
          <w:szCs w:val="24"/>
        </w:rPr>
        <w:t>T</w:t>
      </w:r>
      <w:r w:rsidR="00475060" w:rsidRPr="0042152F">
        <w:rPr>
          <w:rFonts w:ascii="Times New Roman" w:hAnsi="Times New Roman" w:cs="Times New Roman"/>
          <w:sz w:val="24"/>
          <w:szCs w:val="24"/>
        </w:rPr>
        <w:t>he absence</w:t>
      </w:r>
      <w:r w:rsidR="00F64FD9" w:rsidRPr="0042152F">
        <w:rPr>
          <w:rFonts w:ascii="Times New Roman" w:hAnsi="Times New Roman" w:cs="Times New Roman"/>
          <w:sz w:val="24"/>
          <w:szCs w:val="24"/>
        </w:rPr>
        <w:t xml:space="preserve"> of both cleansing methods put the burden on Musk to prove </w:t>
      </w:r>
      <w:r w:rsidR="00E94BAE" w:rsidRPr="0042152F">
        <w:rPr>
          <w:rFonts w:ascii="Times New Roman" w:hAnsi="Times New Roman" w:cs="Times New Roman"/>
          <w:sz w:val="24"/>
          <w:szCs w:val="24"/>
        </w:rPr>
        <w:t xml:space="preserve">that </w:t>
      </w:r>
      <w:r w:rsidR="00F64FD9" w:rsidRPr="0042152F">
        <w:rPr>
          <w:rFonts w:ascii="Times New Roman" w:hAnsi="Times New Roman" w:cs="Times New Roman"/>
          <w:sz w:val="24"/>
          <w:szCs w:val="24"/>
        </w:rPr>
        <w:t>the transaction was entirely fair.</w:t>
      </w:r>
      <w:r w:rsidR="00F64FD9" w:rsidRPr="0042152F">
        <w:rPr>
          <w:rFonts w:ascii="Times New Roman" w:hAnsi="Times New Roman" w:cs="Times New Roman"/>
          <w:sz w:val="24"/>
          <w:szCs w:val="24"/>
          <w:vertAlign w:val="superscript"/>
        </w:rPr>
        <w:footnoteReference w:id="184"/>
      </w:r>
      <w:r w:rsidR="00475060" w:rsidRPr="0042152F">
        <w:rPr>
          <w:rFonts w:ascii="Times New Roman" w:hAnsi="Times New Roman" w:cs="Times New Roman"/>
          <w:sz w:val="24"/>
          <w:szCs w:val="24"/>
        </w:rPr>
        <w:t xml:space="preserve"> </w:t>
      </w:r>
      <w:r w:rsidR="004B1A0E">
        <w:rPr>
          <w:rFonts w:ascii="Times New Roman" w:hAnsi="Times New Roman" w:cs="Times New Roman"/>
          <w:sz w:val="24"/>
          <w:szCs w:val="24"/>
        </w:rPr>
        <w:t xml:space="preserve">Musk did not attempt to offer any evidence about the fairness of his compensation. </w:t>
      </w:r>
      <w:r w:rsidR="00C72421">
        <w:rPr>
          <w:rFonts w:ascii="Times New Roman" w:hAnsi="Times New Roman" w:cs="Times New Roman"/>
          <w:sz w:val="24"/>
          <w:szCs w:val="24"/>
        </w:rPr>
        <w:t>W</w:t>
      </w:r>
      <w:r w:rsidR="00F64FD9" w:rsidRPr="0042152F">
        <w:rPr>
          <w:rFonts w:ascii="Times New Roman" w:hAnsi="Times New Roman" w:cs="Times New Roman"/>
          <w:sz w:val="24"/>
          <w:szCs w:val="24"/>
        </w:rPr>
        <w:t xml:space="preserve">ithout any </w:t>
      </w:r>
      <w:r w:rsidR="009D6F18" w:rsidRPr="0042152F">
        <w:rPr>
          <w:rFonts w:ascii="Times New Roman" w:hAnsi="Times New Roman" w:cs="Times New Roman"/>
          <w:sz w:val="24"/>
          <w:szCs w:val="24"/>
        </w:rPr>
        <w:t xml:space="preserve">acceptable </w:t>
      </w:r>
      <w:r w:rsidR="00F64FD9" w:rsidRPr="0042152F">
        <w:rPr>
          <w:rFonts w:ascii="Times New Roman" w:hAnsi="Times New Roman" w:cs="Times New Roman"/>
          <w:sz w:val="24"/>
          <w:szCs w:val="24"/>
        </w:rPr>
        <w:t xml:space="preserve">method to price the value of Musk’s idiosyncratic vision for the company, the court was left </w:t>
      </w:r>
      <w:r w:rsidR="009D6F18" w:rsidRPr="0042152F">
        <w:rPr>
          <w:rFonts w:ascii="Times New Roman" w:hAnsi="Times New Roman" w:cs="Times New Roman"/>
          <w:sz w:val="24"/>
          <w:szCs w:val="24"/>
        </w:rPr>
        <w:t xml:space="preserve">with no reliable </w:t>
      </w:r>
      <w:r w:rsidR="003A24EC" w:rsidRPr="0042152F">
        <w:rPr>
          <w:rFonts w:ascii="Times New Roman" w:hAnsi="Times New Roman" w:cs="Times New Roman"/>
          <w:sz w:val="24"/>
          <w:szCs w:val="24"/>
        </w:rPr>
        <w:t xml:space="preserve">method but </w:t>
      </w:r>
      <w:r w:rsidR="00F64FD9" w:rsidRPr="0042152F">
        <w:rPr>
          <w:rFonts w:ascii="Times New Roman" w:hAnsi="Times New Roman" w:cs="Times New Roman"/>
          <w:sz w:val="24"/>
          <w:szCs w:val="24"/>
        </w:rPr>
        <w:t>its own judgment</w:t>
      </w:r>
      <w:r w:rsidR="00415380" w:rsidRPr="0042152F">
        <w:rPr>
          <w:rFonts w:ascii="Times New Roman" w:hAnsi="Times New Roman" w:cs="Times New Roman"/>
          <w:sz w:val="24"/>
          <w:szCs w:val="24"/>
        </w:rPr>
        <w:t xml:space="preserve"> </w:t>
      </w:r>
      <w:r w:rsidR="003A24EC" w:rsidRPr="0042152F">
        <w:rPr>
          <w:rFonts w:ascii="Times New Roman" w:hAnsi="Times New Roman" w:cs="Times New Roman"/>
          <w:sz w:val="24"/>
          <w:szCs w:val="24"/>
        </w:rPr>
        <w:t xml:space="preserve">to determine the fairness </w:t>
      </w:r>
      <w:r w:rsidR="00415380" w:rsidRPr="0042152F">
        <w:rPr>
          <w:rFonts w:ascii="Times New Roman" w:hAnsi="Times New Roman" w:cs="Times New Roman"/>
          <w:sz w:val="24"/>
          <w:szCs w:val="24"/>
        </w:rPr>
        <w:t>of Musk’s compensation</w:t>
      </w:r>
      <w:r w:rsidR="00F64FD9" w:rsidRPr="0042152F">
        <w:rPr>
          <w:rFonts w:ascii="Times New Roman" w:hAnsi="Times New Roman" w:cs="Times New Roman"/>
          <w:sz w:val="24"/>
          <w:szCs w:val="24"/>
        </w:rPr>
        <w:t xml:space="preserve">. </w:t>
      </w:r>
    </w:p>
    <w:p w14:paraId="236A18F6" w14:textId="70A2A740" w:rsidR="0048298E" w:rsidRDefault="00C67AF8"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The court relied on two </w:t>
      </w:r>
      <w:r w:rsidR="00384EEF">
        <w:rPr>
          <w:rFonts w:ascii="Times New Roman" w:hAnsi="Times New Roman" w:cs="Times New Roman"/>
          <w:sz w:val="24"/>
          <w:szCs w:val="24"/>
        </w:rPr>
        <w:t>guideposts</w:t>
      </w:r>
      <w:r w:rsidR="00BA1FB7" w:rsidRPr="0042152F">
        <w:rPr>
          <w:rFonts w:ascii="Times New Roman" w:hAnsi="Times New Roman" w:cs="Times New Roman"/>
          <w:sz w:val="24"/>
          <w:szCs w:val="24"/>
        </w:rPr>
        <w:t xml:space="preserve"> t</w:t>
      </w:r>
      <w:r w:rsidR="00A94D0B" w:rsidRPr="0042152F">
        <w:rPr>
          <w:rFonts w:ascii="Times New Roman" w:hAnsi="Times New Roman" w:cs="Times New Roman"/>
          <w:sz w:val="24"/>
          <w:szCs w:val="24"/>
        </w:rPr>
        <w:t>o deal with this intractable problem</w:t>
      </w:r>
      <w:r w:rsidR="006D7481" w:rsidRPr="0042152F">
        <w:rPr>
          <w:rFonts w:ascii="Times New Roman" w:hAnsi="Times New Roman" w:cs="Times New Roman"/>
          <w:sz w:val="24"/>
          <w:szCs w:val="24"/>
        </w:rPr>
        <w:t>:</w:t>
      </w:r>
      <w:r w:rsidR="00723661">
        <w:rPr>
          <w:rFonts w:ascii="Times New Roman" w:hAnsi="Times New Roman" w:cs="Times New Roman"/>
          <w:sz w:val="24"/>
          <w:szCs w:val="24"/>
        </w:rPr>
        <w:t xml:space="preserve"> </w:t>
      </w:r>
      <w:r w:rsidR="00723661" w:rsidRPr="0042152F">
        <w:rPr>
          <w:rFonts w:ascii="Times New Roman" w:hAnsi="Times New Roman" w:cs="Times New Roman"/>
          <w:sz w:val="24"/>
          <w:szCs w:val="24"/>
        </w:rPr>
        <w:t>pay benchmarks derived from other companies</w:t>
      </w:r>
      <w:r w:rsidR="00723661">
        <w:rPr>
          <w:rFonts w:ascii="Times New Roman" w:hAnsi="Times New Roman" w:cs="Times New Roman"/>
          <w:sz w:val="24"/>
          <w:szCs w:val="24"/>
        </w:rPr>
        <w:t xml:space="preserve"> and </w:t>
      </w:r>
      <w:r w:rsidR="00384EEF">
        <w:rPr>
          <w:rFonts w:ascii="Times New Roman" w:hAnsi="Times New Roman" w:cs="Times New Roman"/>
          <w:sz w:val="24"/>
          <w:szCs w:val="24"/>
        </w:rPr>
        <w:t xml:space="preserve">information about </w:t>
      </w:r>
      <w:r w:rsidR="00723661">
        <w:rPr>
          <w:rFonts w:ascii="Times New Roman" w:hAnsi="Times New Roman" w:cs="Times New Roman"/>
          <w:sz w:val="24"/>
          <w:szCs w:val="24"/>
        </w:rPr>
        <w:t>the</w:t>
      </w:r>
      <w:r w:rsidR="006D7481" w:rsidRPr="0042152F">
        <w:rPr>
          <w:rFonts w:ascii="Times New Roman" w:hAnsi="Times New Roman" w:cs="Times New Roman"/>
          <w:sz w:val="24"/>
          <w:szCs w:val="24"/>
        </w:rPr>
        <w:t xml:space="preserve"> </w:t>
      </w:r>
      <w:r w:rsidR="008258CF" w:rsidRPr="0042152F">
        <w:rPr>
          <w:rFonts w:ascii="Times New Roman" w:hAnsi="Times New Roman" w:cs="Times New Roman"/>
          <w:sz w:val="24"/>
          <w:szCs w:val="24"/>
        </w:rPr>
        <w:t>special committee’</w:t>
      </w:r>
      <w:r w:rsidR="00996225">
        <w:rPr>
          <w:rFonts w:ascii="Times New Roman" w:hAnsi="Times New Roman" w:cs="Times New Roman"/>
          <w:sz w:val="24"/>
          <w:szCs w:val="24"/>
        </w:rPr>
        <w:t>s</w:t>
      </w:r>
      <w:r w:rsidR="001966C1">
        <w:rPr>
          <w:rFonts w:ascii="Times New Roman" w:hAnsi="Times New Roman" w:cs="Times New Roman"/>
          <w:sz w:val="24"/>
          <w:szCs w:val="24"/>
        </w:rPr>
        <w:t xml:space="preserve"> bargaining</w:t>
      </w:r>
      <w:r w:rsidR="008258CF" w:rsidRPr="0042152F">
        <w:rPr>
          <w:rFonts w:ascii="Times New Roman" w:hAnsi="Times New Roman" w:cs="Times New Roman"/>
          <w:sz w:val="24"/>
          <w:szCs w:val="24"/>
        </w:rPr>
        <w:t xml:space="preserve"> process. </w:t>
      </w:r>
      <w:r w:rsidR="0048298E" w:rsidRPr="0042152F">
        <w:rPr>
          <w:rFonts w:ascii="Times New Roman" w:hAnsi="Times New Roman" w:cs="Times New Roman"/>
          <w:sz w:val="24"/>
          <w:szCs w:val="24"/>
        </w:rPr>
        <w:t xml:space="preserve">We address each </w:t>
      </w:r>
      <w:r w:rsidR="00384EEF">
        <w:rPr>
          <w:rFonts w:ascii="Times New Roman" w:hAnsi="Times New Roman" w:cs="Times New Roman"/>
          <w:sz w:val="24"/>
          <w:szCs w:val="24"/>
        </w:rPr>
        <w:t>of these guideposts</w:t>
      </w:r>
      <w:r w:rsidR="00384EEF" w:rsidRPr="0042152F">
        <w:rPr>
          <w:rFonts w:ascii="Times New Roman" w:hAnsi="Times New Roman" w:cs="Times New Roman"/>
          <w:sz w:val="24"/>
          <w:szCs w:val="24"/>
        </w:rPr>
        <w:t xml:space="preserve"> </w:t>
      </w:r>
      <w:r w:rsidR="0048298E" w:rsidRPr="0042152F">
        <w:rPr>
          <w:rFonts w:ascii="Times New Roman" w:hAnsi="Times New Roman" w:cs="Times New Roman"/>
          <w:sz w:val="24"/>
          <w:szCs w:val="24"/>
        </w:rPr>
        <w:t>below.</w:t>
      </w:r>
    </w:p>
    <w:p w14:paraId="2545D9D4" w14:textId="0446919D" w:rsidR="00103A87" w:rsidRPr="0042152F" w:rsidRDefault="00103A87"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i/>
          <w:iCs/>
          <w:sz w:val="24"/>
          <w:szCs w:val="24"/>
        </w:rPr>
        <w:t>Benchmarks and Average Pay.</w:t>
      </w:r>
      <w:r w:rsidRPr="0042152F">
        <w:rPr>
          <w:rFonts w:ascii="Times New Roman" w:hAnsi="Times New Roman" w:cs="Times New Roman"/>
          <w:sz w:val="24"/>
          <w:szCs w:val="24"/>
        </w:rPr>
        <w:t xml:space="preserve"> </w:t>
      </w:r>
      <w:r w:rsidR="00384EEF">
        <w:rPr>
          <w:rFonts w:ascii="Times New Roman" w:hAnsi="Times New Roman" w:cs="Times New Roman"/>
          <w:sz w:val="24"/>
          <w:szCs w:val="24"/>
        </w:rPr>
        <w:t>Without an estimate of value, t</w:t>
      </w:r>
      <w:r w:rsidRPr="0042152F">
        <w:rPr>
          <w:rFonts w:ascii="Times New Roman" w:hAnsi="Times New Roman" w:cs="Times New Roman"/>
          <w:sz w:val="24"/>
          <w:szCs w:val="24"/>
        </w:rPr>
        <w:t xml:space="preserve">he </w:t>
      </w:r>
      <w:r w:rsidRPr="0042152F">
        <w:rPr>
          <w:rFonts w:ascii="Times New Roman" w:hAnsi="Times New Roman" w:cs="Times New Roman"/>
          <w:i/>
          <w:iCs/>
          <w:sz w:val="24"/>
          <w:szCs w:val="24"/>
        </w:rPr>
        <w:t>Tornetta</w:t>
      </w:r>
      <w:r w:rsidRPr="0042152F">
        <w:rPr>
          <w:rFonts w:ascii="Times New Roman" w:hAnsi="Times New Roman" w:cs="Times New Roman"/>
          <w:sz w:val="24"/>
          <w:szCs w:val="24"/>
        </w:rPr>
        <w:t xml:space="preserve"> court </w:t>
      </w:r>
      <w:r w:rsidR="00384EEF">
        <w:rPr>
          <w:rFonts w:ascii="Times New Roman" w:hAnsi="Times New Roman" w:cs="Times New Roman"/>
          <w:sz w:val="24"/>
          <w:szCs w:val="24"/>
        </w:rPr>
        <w:t>appeared to have</w:t>
      </w:r>
      <w:r w:rsidRPr="0042152F">
        <w:rPr>
          <w:rFonts w:ascii="Times New Roman" w:hAnsi="Times New Roman" w:cs="Times New Roman"/>
          <w:sz w:val="24"/>
          <w:szCs w:val="24"/>
        </w:rPr>
        <w:t xml:space="preserve"> been swayed by the record-breaking dollar value of the compensation package.</w:t>
      </w:r>
      <w:r w:rsidRPr="0042152F">
        <w:rPr>
          <w:rStyle w:val="FootnoteReference"/>
          <w:rFonts w:ascii="Times New Roman" w:hAnsi="Times New Roman" w:cs="Times New Roman"/>
          <w:sz w:val="24"/>
          <w:szCs w:val="24"/>
        </w:rPr>
        <w:footnoteReference w:id="185"/>
      </w:r>
      <w:r w:rsidRPr="0042152F">
        <w:rPr>
          <w:rStyle w:val="FootnoteReference"/>
          <w:rFonts w:ascii="Times New Roman" w:hAnsi="Times New Roman" w:cs="Times New Roman"/>
          <w:sz w:val="24"/>
          <w:szCs w:val="24"/>
        </w:rPr>
        <w:t xml:space="preserve"> </w:t>
      </w:r>
      <w:r w:rsidRPr="0042152F">
        <w:rPr>
          <w:rFonts w:ascii="Times New Roman" w:hAnsi="Times New Roman" w:cs="Times New Roman"/>
          <w:sz w:val="24"/>
          <w:szCs w:val="24"/>
        </w:rPr>
        <w:t>Although the court did not explicitly review a benchmarking analysis (indeed, because the board did not have one</w:t>
      </w:r>
      <w:r w:rsidRPr="0042152F">
        <w:rPr>
          <w:rStyle w:val="FootnoteReference"/>
          <w:rFonts w:ascii="Times New Roman" w:hAnsi="Times New Roman" w:cs="Times New Roman"/>
          <w:sz w:val="24"/>
          <w:szCs w:val="24"/>
        </w:rPr>
        <w:footnoteReference w:id="186"/>
      </w:r>
      <w:r w:rsidRPr="0042152F">
        <w:rPr>
          <w:rFonts w:ascii="Times New Roman" w:hAnsi="Times New Roman" w:cs="Times New Roman"/>
          <w:sz w:val="24"/>
          <w:szCs w:val="24"/>
        </w:rPr>
        <w:t>) the court’s analysis was colored by the sheer size of the award.</w:t>
      </w:r>
      <w:r w:rsidRPr="0042152F">
        <w:rPr>
          <w:rStyle w:val="FootnoteReference"/>
          <w:rFonts w:ascii="Times New Roman" w:hAnsi="Times New Roman" w:cs="Times New Roman"/>
          <w:sz w:val="24"/>
          <w:szCs w:val="24"/>
        </w:rPr>
        <w:footnoteReference w:id="187"/>
      </w:r>
      <w:r w:rsidRPr="0042152F">
        <w:rPr>
          <w:rStyle w:val="FootnoteReference"/>
          <w:rFonts w:ascii="Times New Roman" w:hAnsi="Times New Roman" w:cs="Times New Roman"/>
          <w:sz w:val="24"/>
          <w:szCs w:val="24"/>
        </w:rPr>
        <w:t xml:space="preserve"> </w:t>
      </w:r>
      <w:r w:rsidRPr="0042152F">
        <w:rPr>
          <w:rFonts w:ascii="Times New Roman" w:hAnsi="Times New Roman" w:cs="Times New Roman"/>
          <w:sz w:val="24"/>
          <w:szCs w:val="24"/>
        </w:rPr>
        <w:t>For instance, the court noted that Musk’s maximum payout under the compensation plan was “250 times larger than the contemporaneous median peer compensation plan and 33 times larger than the plan’s closest comparison.”</w:t>
      </w:r>
      <w:r w:rsidRPr="0042152F">
        <w:rPr>
          <w:rStyle w:val="FootnoteReference"/>
          <w:rFonts w:ascii="Times New Roman" w:hAnsi="Times New Roman" w:cs="Times New Roman"/>
          <w:sz w:val="24"/>
          <w:szCs w:val="24"/>
        </w:rPr>
        <w:footnoteReference w:id="188"/>
      </w:r>
      <w:r w:rsidRPr="0042152F">
        <w:rPr>
          <w:rFonts w:ascii="Times New Roman" w:hAnsi="Times New Roman" w:cs="Times New Roman"/>
          <w:sz w:val="24"/>
          <w:szCs w:val="24"/>
        </w:rPr>
        <w:t xml:space="preserve"> </w:t>
      </w:r>
    </w:p>
    <w:p w14:paraId="03C273B5" w14:textId="734DE58A" w:rsidR="00103A87" w:rsidRPr="0042152F" w:rsidRDefault="00103A87"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But comparing compensation based </w:t>
      </w:r>
      <w:r w:rsidRPr="00613141">
        <w:rPr>
          <w:rFonts w:ascii="Times New Roman" w:hAnsi="Times New Roman" w:cs="Times New Roman"/>
          <w:sz w:val="24"/>
          <w:szCs w:val="24"/>
        </w:rPr>
        <w:t xml:space="preserve">on total dollars alone tells only part of the story because managers can perform very differently. For instance, </w:t>
      </w:r>
      <w:r w:rsidRPr="00260337">
        <w:rPr>
          <w:rFonts w:ascii="Times New Roman" w:hAnsi="Times New Roman" w:cs="Times New Roman"/>
          <w:sz w:val="24"/>
          <w:szCs w:val="24"/>
        </w:rPr>
        <w:t>Jim Hackett</w:t>
      </w:r>
      <w:r w:rsidRPr="00613141">
        <w:rPr>
          <w:rFonts w:ascii="Times New Roman" w:hAnsi="Times New Roman" w:cs="Times New Roman"/>
          <w:sz w:val="24"/>
          <w:szCs w:val="24"/>
        </w:rPr>
        <w:t>, the</w:t>
      </w:r>
      <w:r w:rsidRPr="00260337">
        <w:rPr>
          <w:rFonts w:ascii="Times New Roman" w:hAnsi="Times New Roman" w:cs="Times New Roman"/>
          <w:sz w:val="24"/>
          <w:szCs w:val="24"/>
        </w:rPr>
        <w:t xml:space="preserve"> former</w:t>
      </w:r>
      <w:r w:rsidRPr="00613141">
        <w:rPr>
          <w:rFonts w:ascii="Times New Roman" w:hAnsi="Times New Roman" w:cs="Times New Roman"/>
          <w:sz w:val="24"/>
          <w:szCs w:val="24"/>
        </w:rPr>
        <w:t xml:space="preserve"> CEO of </w:t>
      </w:r>
      <w:r>
        <w:rPr>
          <w:rFonts w:ascii="Times New Roman" w:hAnsi="Times New Roman" w:cs="Times New Roman"/>
          <w:sz w:val="24"/>
          <w:szCs w:val="24"/>
        </w:rPr>
        <w:t>Ford</w:t>
      </w:r>
      <w:r w:rsidRPr="00613141">
        <w:rPr>
          <w:rFonts w:ascii="Times New Roman" w:hAnsi="Times New Roman" w:cs="Times New Roman"/>
          <w:sz w:val="24"/>
          <w:szCs w:val="24"/>
        </w:rPr>
        <w:t xml:space="preserve"> (a peer firm of Tesla’s), earned </w:t>
      </w:r>
      <w:r w:rsidRPr="00260337">
        <w:rPr>
          <w:rFonts w:ascii="Times New Roman" w:hAnsi="Times New Roman" w:cs="Times New Roman"/>
          <w:sz w:val="24"/>
          <w:szCs w:val="24"/>
        </w:rPr>
        <w:t>approximately $69</w:t>
      </w:r>
      <w:r w:rsidRPr="00613141">
        <w:rPr>
          <w:rFonts w:ascii="Times New Roman" w:hAnsi="Times New Roman" w:cs="Times New Roman"/>
          <w:sz w:val="24"/>
          <w:szCs w:val="24"/>
        </w:rPr>
        <w:t xml:space="preserve"> million from 201</w:t>
      </w:r>
      <w:r w:rsidRPr="00A82823">
        <w:rPr>
          <w:rFonts w:ascii="Times New Roman" w:hAnsi="Times New Roman" w:cs="Times New Roman"/>
          <w:sz w:val="24"/>
          <w:szCs w:val="24"/>
        </w:rPr>
        <w:t>7</w:t>
      </w:r>
      <w:r w:rsidRPr="00613141">
        <w:rPr>
          <w:rFonts w:ascii="Times New Roman" w:hAnsi="Times New Roman" w:cs="Times New Roman"/>
          <w:sz w:val="24"/>
          <w:szCs w:val="24"/>
        </w:rPr>
        <w:t xml:space="preserve"> to 202</w:t>
      </w:r>
      <w:r w:rsidRPr="00A82823">
        <w:rPr>
          <w:rFonts w:ascii="Times New Roman" w:hAnsi="Times New Roman" w:cs="Times New Roman"/>
          <w:sz w:val="24"/>
          <w:szCs w:val="24"/>
        </w:rPr>
        <w:t>0</w:t>
      </w:r>
      <w:r w:rsidRPr="00613141">
        <w:rPr>
          <w:rStyle w:val="FootnoteReference"/>
          <w:rFonts w:ascii="Times New Roman" w:hAnsi="Times New Roman" w:cs="Times New Roman"/>
          <w:sz w:val="24"/>
          <w:szCs w:val="24"/>
        </w:rPr>
        <w:footnoteReference w:id="189"/>
      </w:r>
      <w:r w:rsidRPr="00613141">
        <w:rPr>
          <w:rFonts w:ascii="Times New Roman" w:hAnsi="Times New Roman" w:cs="Times New Roman"/>
          <w:sz w:val="24"/>
          <w:szCs w:val="24"/>
        </w:rPr>
        <w:t xml:space="preserve"> while </w:t>
      </w:r>
      <w:r w:rsidRPr="00260337">
        <w:rPr>
          <w:rFonts w:ascii="Times New Roman" w:hAnsi="Times New Roman" w:cs="Times New Roman"/>
          <w:sz w:val="24"/>
          <w:szCs w:val="24"/>
        </w:rPr>
        <w:t>Ford</w:t>
      </w:r>
      <w:r w:rsidRPr="00613141">
        <w:rPr>
          <w:rFonts w:ascii="Times New Roman" w:hAnsi="Times New Roman" w:cs="Times New Roman"/>
          <w:sz w:val="24"/>
          <w:szCs w:val="24"/>
        </w:rPr>
        <w:t xml:space="preserve">’s </w:t>
      </w:r>
      <w:r w:rsidRPr="00260337">
        <w:rPr>
          <w:rFonts w:ascii="Times New Roman" w:hAnsi="Times New Roman" w:cs="Times New Roman"/>
          <w:sz w:val="24"/>
          <w:szCs w:val="24"/>
        </w:rPr>
        <w:t>stock price hit a ten-year low</w:t>
      </w:r>
      <w:r w:rsidRPr="00613141">
        <w:rPr>
          <w:rFonts w:ascii="Times New Roman" w:hAnsi="Times New Roman" w:cs="Times New Roman"/>
          <w:sz w:val="24"/>
          <w:szCs w:val="24"/>
        </w:rPr>
        <w:t>.</w:t>
      </w:r>
      <w:r w:rsidRPr="00613141">
        <w:rPr>
          <w:rStyle w:val="FootnoteReference"/>
          <w:rFonts w:ascii="Times New Roman" w:hAnsi="Times New Roman" w:cs="Times New Roman"/>
          <w:sz w:val="24"/>
          <w:szCs w:val="24"/>
        </w:rPr>
        <w:footnoteReference w:id="190"/>
      </w:r>
      <w:r w:rsidRPr="00613141">
        <w:rPr>
          <w:rFonts w:ascii="Times New Roman" w:hAnsi="Times New Roman" w:cs="Times New Roman"/>
          <w:sz w:val="24"/>
          <w:szCs w:val="24"/>
        </w:rPr>
        <w:t xml:space="preserve"> </w:t>
      </w:r>
      <w:r w:rsidR="0027032E">
        <w:rPr>
          <w:rFonts w:ascii="Times New Roman" w:hAnsi="Times New Roman" w:cs="Times New Roman"/>
          <w:sz w:val="24"/>
          <w:szCs w:val="24"/>
        </w:rPr>
        <w:t xml:space="preserve">A similar story took place </w:t>
      </w:r>
      <w:r w:rsidR="003D16ED">
        <w:rPr>
          <w:rFonts w:ascii="Times New Roman" w:hAnsi="Times New Roman" w:cs="Times New Roman"/>
          <w:sz w:val="24"/>
          <w:szCs w:val="24"/>
        </w:rPr>
        <w:t>at</w:t>
      </w:r>
      <w:r w:rsidR="0027032E">
        <w:rPr>
          <w:rFonts w:ascii="Times New Roman" w:hAnsi="Times New Roman" w:cs="Times New Roman"/>
          <w:sz w:val="24"/>
          <w:szCs w:val="24"/>
        </w:rPr>
        <w:t xml:space="preserve"> General Motor</w:t>
      </w:r>
      <w:r w:rsidR="003D16ED">
        <w:rPr>
          <w:rFonts w:ascii="Times New Roman" w:hAnsi="Times New Roman" w:cs="Times New Roman"/>
          <w:sz w:val="24"/>
          <w:szCs w:val="24"/>
        </w:rPr>
        <w:t>s</w:t>
      </w:r>
      <w:r w:rsidR="0027032E">
        <w:rPr>
          <w:rFonts w:ascii="Times New Roman" w:hAnsi="Times New Roman" w:cs="Times New Roman"/>
          <w:sz w:val="24"/>
          <w:szCs w:val="24"/>
        </w:rPr>
        <w:t>.</w:t>
      </w:r>
      <w:r w:rsidR="0027032E" w:rsidRPr="0026190C">
        <w:rPr>
          <w:rStyle w:val="FootnoteReference"/>
          <w:rFonts w:ascii="Times New Roman" w:hAnsi="Times New Roman" w:cs="Times New Roman"/>
          <w:sz w:val="24"/>
          <w:szCs w:val="24"/>
        </w:rPr>
        <w:footnoteReference w:id="191"/>
      </w:r>
      <w:r w:rsidR="0027032E">
        <w:rPr>
          <w:rFonts w:ascii="Times New Roman" w:hAnsi="Times New Roman" w:cs="Times New Roman"/>
          <w:sz w:val="24"/>
          <w:szCs w:val="24"/>
        </w:rPr>
        <w:t xml:space="preserve"> </w:t>
      </w:r>
      <w:r w:rsidRPr="00613141">
        <w:rPr>
          <w:rFonts w:ascii="Times New Roman" w:hAnsi="Times New Roman" w:cs="Times New Roman"/>
          <w:sz w:val="24"/>
          <w:szCs w:val="24"/>
        </w:rPr>
        <w:t>In contrast, Elon Musk earned $55.8 billion, but he created $590.9 billion in shareholder value.</w:t>
      </w:r>
      <w:r w:rsidRPr="00613141">
        <w:rPr>
          <w:rStyle w:val="FootnoteReference"/>
          <w:rFonts w:ascii="Times New Roman" w:hAnsi="Times New Roman" w:cs="Times New Roman"/>
          <w:sz w:val="24"/>
          <w:szCs w:val="24"/>
        </w:rPr>
        <w:footnoteReference w:id="192"/>
      </w:r>
      <w:r w:rsidRPr="00613141">
        <w:rPr>
          <w:rFonts w:ascii="Times New Roman" w:hAnsi="Times New Roman" w:cs="Times New Roman"/>
          <w:sz w:val="24"/>
          <w:szCs w:val="24"/>
        </w:rPr>
        <w:t xml:space="preserve"> Thus, Ford’s </w:t>
      </w:r>
      <w:r w:rsidR="0027032E">
        <w:rPr>
          <w:rFonts w:ascii="Times New Roman" w:hAnsi="Times New Roman" w:cs="Times New Roman"/>
          <w:sz w:val="24"/>
          <w:szCs w:val="24"/>
        </w:rPr>
        <w:t xml:space="preserve">and GM’s </w:t>
      </w:r>
      <w:r w:rsidRPr="00613141">
        <w:rPr>
          <w:rFonts w:ascii="Times New Roman" w:hAnsi="Times New Roman" w:cs="Times New Roman"/>
          <w:sz w:val="24"/>
          <w:szCs w:val="24"/>
        </w:rPr>
        <w:t xml:space="preserve">shareholders paid their CEO much less but ended up paying for losses. And yet, despite genuine differences in skill and effort, the </w:t>
      </w:r>
      <w:r w:rsidRPr="00613141">
        <w:rPr>
          <w:rFonts w:ascii="Times New Roman" w:hAnsi="Times New Roman" w:cs="Times New Roman"/>
          <w:i/>
          <w:iCs/>
          <w:sz w:val="24"/>
          <w:szCs w:val="24"/>
        </w:rPr>
        <w:t xml:space="preserve">Tornetta </w:t>
      </w:r>
      <w:r w:rsidRPr="00613141">
        <w:rPr>
          <w:rFonts w:ascii="Times New Roman" w:hAnsi="Times New Roman" w:cs="Times New Roman"/>
          <w:sz w:val="24"/>
          <w:szCs w:val="24"/>
        </w:rPr>
        <w:t xml:space="preserve">court </w:t>
      </w:r>
      <w:r w:rsidR="00BD67E2">
        <w:rPr>
          <w:rFonts w:ascii="Times New Roman" w:hAnsi="Times New Roman" w:cs="Times New Roman"/>
          <w:sz w:val="24"/>
          <w:szCs w:val="24"/>
        </w:rPr>
        <w:t xml:space="preserve">essentially </w:t>
      </w:r>
      <w:r w:rsidRPr="00613141">
        <w:rPr>
          <w:rFonts w:ascii="Times New Roman" w:hAnsi="Times New Roman" w:cs="Times New Roman"/>
          <w:sz w:val="24"/>
          <w:szCs w:val="24"/>
        </w:rPr>
        <w:t>viewed Musk as just another CEO.</w:t>
      </w:r>
      <w:r w:rsidRPr="00613141">
        <w:rPr>
          <w:rStyle w:val="FootnoteReference"/>
          <w:rFonts w:ascii="Times New Roman" w:hAnsi="Times New Roman" w:cs="Times New Roman"/>
          <w:sz w:val="24"/>
          <w:szCs w:val="24"/>
        </w:rPr>
        <w:footnoteReference w:id="193"/>
      </w:r>
      <w:r w:rsidRPr="0042152F">
        <w:rPr>
          <w:rFonts w:ascii="Times New Roman" w:hAnsi="Times New Roman" w:cs="Times New Roman"/>
          <w:sz w:val="24"/>
          <w:szCs w:val="24"/>
        </w:rPr>
        <w:t xml:space="preserve"> </w:t>
      </w:r>
    </w:p>
    <w:p w14:paraId="5E5E823A" w14:textId="228D60BD" w:rsidR="00CE7947" w:rsidRDefault="00103A87"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The absence of </w:t>
      </w:r>
      <w:r w:rsidR="00CE7947">
        <w:rPr>
          <w:rFonts w:ascii="Times New Roman" w:hAnsi="Times New Roman" w:cs="Times New Roman"/>
          <w:sz w:val="24"/>
          <w:szCs w:val="24"/>
        </w:rPr>
        <w:t>an estimate</w:t>
      </w:r>
      <w:r w:rsidRPr="0042152F">
        <w:rPr>
          <w:rFonts w:ascii="Times New Roman" w:hAnsi="Times New Roman" w:cs="Times New Roman"/>
          <w:sz w:val="24"/>
          <w:szCs w:val="24"/>
        </w:rPr>
        <w:t xml:space="preserve"> of value also raises concerns that the court’s decision will be influenced by hindsight bias. </w:t>
      </w:r>
      <w:r w:rsidR="00C47990">
        <w:rPr>
          <w:rFonts w:ascii="Times New Roman" w:hAnsi="Times New Roman" w:cs="Times New Roman"/>
          <w:sz w:val="24"/>
          <w:szCs w:val="24"/>
        </w:rPr>
        <w:t>T</w:t>
      </w:r>
      <w:r w:rsidRPr="0042152F">
        <w:rPr>
          <w:rFonts w:ascii="Times New Roman" w:hAnsi="Times New Roman" w:cs="Times New Roman"/>
          <w:sz w:val="24"/>
          <w:szCs w:val="24"/>
        </w:rPr>
        <w:t xml:space="preserve">he court emphasized the dollar size of the pay package that was </w:t>
      </w:r>
      <w:r w:rsidRPr="0042152F">
        <w:rPr>
          <w:rFonts w:ascii="Times New Roman" w:hAnsi="Times New Roman" w:cs="Times New Roman"/>
          <w:sz w:val="24"/>
          <w:szCs w:val="24"/>
        </w:rPr>
        <w:lastRenderedPageBreak/>
        <w:t xml:space="preserve">earned after all of the milestones were achieved and gave little weight to the </w:t>
      </w:r>
      <w:r w:rsidR="00603B65">
        <w:rPr>
          <w:rFonts w:ascii="Times New Roman" w:hAnsi="Times New Roman" w:cs="Times New Roman"/>
          <w:sz w:val="24"/>
          <w:szCs w:val="24"/>
        </w:rPr>
        <w:t xml:space="preserve">company’s prospects </w:t>
      </w:r>
      <w:r w:rsidRPr="0042152F">
        <w:rPr>
          <w:rFonts w:ascii="Times New Roman" w:hAnsi="Times New Roman" w:cs="Times New Roman"/>
          <w:sz w:val="24"/>
          <w:szCs w:val="24"/>
        </w:rPr>
        <w:t>on the date of the grant, when Tesla’s future was deeply uncertain. Colored by hindsight, the court viewed the milestones as all but guaranteed.</w:t>
      </w:r>
      <w:r w:rsidRPr="0042152F">
        <w:rPr>
          <w:rStyle w:val="FootnoteReference"/>
          <w:rFonts w:ascii="Times New Roman" w:hAnsi="Times New Roman" w:cs="Times New Roman"/>
          <w:sz w:val="24"/>
          <w:szCs w:val="24"/>
        </w:rPr>
        <w:footnoteReference w:id="194"/>
      </w:r>
      <w:r w:rsidR="00C30253">
        <w:rPr>
          <w:rFonts w:ascii="Times New Roman" w:hAnsi="Times New Roman" w:cs="Times New Roman"/>
          <w:sz w:val="24"/>
          <w:szCs w:val="24"/>
        </w:rPr>
        <w:t xml:space="preserve"> But</w:t>
      </w:r>
      <w:r w:rsidR="00CE7947">
        <w:rPr>
          <w:rFonts w:ascii="Times New Roman" w:hAnsi="Times New Roman" w:cs="Times New Roman"/>
          <w:sz w:val="24"/>
          <w:szCs w:val="24"/>
        </w:rPr>
        <w:t xml:space="preserve"> what</w:t>
      </w:r>
      <w:r w:rsidR="00C30253">
        <w:rPr>
          <w:rFonts w:ascii="Times New Roman" w:hAnsi="Times New Roman" w:cs="Times New Roman"/>
          <w:sz w:val="24"/>
          <w:szCs w:val="24"/>
        </w:rPr>
        <w:t xml:space="preserve"> if the court </w:t>
      </w:r>
      <w:r w:rsidR="008F7AEA">
        <w:rPr>
          <w:rFonts w:ascii="Times New Roman" w:hAnsi="Times New Roman" w:cs="Times New Roman"/>
          <w:sz w:val="24"/>
          <w:szCs w:val="24"/>
        </w:rPr>
        <w:t xml:space="preserve">had to </w:t>
      </w:r>
      <w:r w:rsidR="00C30253">
        <w:rPr>
          <w:rFonts w:ascii="Times New Roman" w:hAnsi="Times New Roman" w:cs="Times New Roman"/>
          <w:sz w:val="24"/>
          <w:szCs w:val="24"/>
        </w:rPr>
        <w:t xml:space="preserve">decide the case in 2018, </w:t>
      </w:r>
      <w:r w:rsidR="00C30253" w:rsidRPr="0042152F">
        <w:rPr>
          <w:rFonts w:ascii="Times New Roman" w:hAnsi="Times New Roman" w:cs="Times New Roman"/>
          <w:sz w:val="24"/>
          <w:szCs w:val="24"/>
        </w:rPr>
        <w:t>when Tesla neared bankruptcy</w:t>
      </w:r>
      <w:r w:rsidR="00C30253">
        <w:rPr>
          <w:rFonts w:ascii="Times New Roman" w:hAnsi="Times New Roman" w:cs="Times New Roman"/>
          <w:sz w:val="24"/>
          <w:szCs w:val="24"/>
        </w:rPr>
        <w:t xml:space="preserve"> and when most of the milestones seemed unlikely to be achieved</w:t>
      </w:r>
      <w:r w:rsidR="00CE7947">
        <w:rPr>
          <w:rFonts w:ascii="Times New Roman" w:hAnsi="Times New Roman" w:cs="Times New Roman"/>
          <w:sz w:val="24"/>
          <w:szCs w:val="24"/>
        </w:rPr>
        <w:t>? Would it still have concluded that the pay package was unfair?</w:t>
      </w:r>
      <w:r w:rsidR="00015E08" w:rsidRPr="0042152F">
        <w:rPr>
          <w:rStyle w:val="FootnoteReference"/>
          <w:rFonts w:ascii="Times New Roman" w:hAnsi="Times New Roman" w:cs="Times New Roman"/>
          <w:sz w:val="24"/>
          <w:szCs w:val="24"/>
        </w:rPr>
        <w:footnoteReference w:id="195"/>
      </w:r>
      <w:r w:rsidR="008F7AEA">
        <w:rPr>
          <w:rFonts w:ascii="Times New Roman" w:hAnsi="Times New Roman" w:cs="Times New Roman"/>
          <w:sz w:val="24"/>
          <w:szCs w:val="24"/>
        </w:rPr>
        <w:t xml:space="preserve"> </w:t>
      </w:r>
      <w:r w:rsidR="00CE7947">
        <w:rPr>
          <w:rFonts w:ascii="Times New Roman" w:hAnsi="Times New Roman" w:cs="Times New Roman"/>
          <w:sz w:val="24"/>
          <w:szCs w:val="24"/>
        </w:rPr>
        <w:t>This result seems unlikely; similarly, i</w:t>
      </w:r>
      <w:r w:rsidR="000555F0">
        <w:rPr>
          <w:rFonts w:ascii="Times New Roman" w:hAnsi="Times New Roman" w:cs="Times New Roman"/>
          <w:sz w:val="24"/>
          <w:szCs w:val="24"/>
        </w:rPr>
        <w:t xml:space="preserve">f </w:t>
      </w:r>
      <w:r w:rsidRPr="0042152F">
        <w:rPr>
          <w:rFonts w:ascii="Times New Roman" w:hAnsi="Times New Roman" w:cs="Times New Roman"/>
          <w:sz w:val="24"/>
          <w:szCs w:val="24"/>
        </w:rPr>
        <w:t>Musk failed to meet all (or any) of the milestones and was left with a much smaller stock grant</w:t>
      </w:r>
      <w:r w:rsidR="00CE7947">
        <w:rPr>
          <w:rFonts w:ascii="Times New Roman" w:hAnsi="Times New Roman" w:cs="Times New Roman"/>
          <w:sz w:val="24"/>
          <w:szCs w:val="24"/>
        </w:rPr>
        <w:t>, the court would have likely reached a different conclusion about fairness</w:t>
      </w:r>
      <w:r w:rsidR="00E40953">
        <w:rPr>
          <w:rFonts w:ascii="Times New Roman" w:hAnsi="Times New Roman" w:cs="Times New Roman"/>
          <w:sz w:val="24"/>
          <w:szCs w:val="24"/>
        </w:rPr>
        <w:t>.</w:t>
      </w:r>
      <w:bookmarkStart w:id="23" w:name="_Ref184397393"/>
      <w:r w:rsidRPr="0042152F">
        <w:rPr>
          <w:rStyle w:val="FootnoteReference"/>
          <w:rFonts w:ascii="Times New Roman" w:hAnsi="Times New Roman" w:cs="Times New Roman"/>
          <w:sz w:val="24"/>
          <w:szCs w:val="24"/>
        </w:rPr>
        <w:footnoteReference w:id="196"/>
      </w:r>
      <w:bookmarkEnd w:id="23"/>
      <w:r w:rsidR="00E40953">
        <w:rPr>
          <w:rFonts w:ascii="Times New Roman" w:hAnsi="Times New Roman" w:cs="Times New Roman"/>
          <w:sz w:val="24"/>
          <w:szCs w:val="24"/>
        </w:rPr>
        <w:t xml:space="preserve"> </w:t>
      </w:r>
    </w:p>
    <w:p w14:paraId="7D47F29E" w14:textId="7A41340E" w:rsidR="0024533E" w:rsidRDefault="00CE7947"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sum, w</w:t>
      </w:r>
      <w:r w:rsidR="00F15D13">
        <w:rPr>
          <w:rFonts w:ascii="Times New Roman" w:hAnsi="Times New Roman" w:cs="Times New Roman"/>
          <w:sz w:val="24"/>
          <w:szCs w:val="24"/>
        </w:rPr>
        <w:t xml:space="preserve">ithout </w:t>
      </w:r>
      <w:r>
        <w:rPr>
          <w:rFonts w:ascii="Times New Roman" w:hAnsi="Times New Roman" w:cs="Times New Roman"/>
          <w:sz w:val="24"/>
          <w:szCs w:val="24"/>
        </w:rPr>
        <w:t>reliable estimates of value</w:t>
      </w:r>
      <w:r w:rsidR="00F15D13">
        <w:rPr>
          <w:rFonts w:ascii="Times New Roman" w:hAnsi="Times New Roman" w:cs="Times New Roman"/>
          <w:sz w:val="24"/>
          <w:szCs w:val="24"/>
        </w:rPr>
        <w:t>, t</w:t>
      </w:r>
      <w:r w:rsidR="00E40953">
        <w:rPr>
          <w:rFonts w:ascii="Times New Roman" w:hAnsi="Times New Roman" w:cs="Times New Roman"/>
          <w:sz w:val="24"/>
          <w:szCs w:val="24"/>
        </w:rPr>
        <w:t xml:space="preserve">he </w:t>
      </w:r>
      <w:r w:rsidR="00977B3B">
        <w:rPr>
          <w:rFonts w:ascii="Times New Roman" w:hAnsi="Times New Roman" w:cs="Times New Roman"/>
          <w:sz w:val="24"/>
          <w:szCs w:val="24"/>
        </w:rPr>
        <w:t xml:space="preserve">courts’ </w:t>
      </w:r>
      <w:r w:rsidR="00E40953">
        <w:rPr>
          <w:rFonts w:ascii="Times New Roman" w:hAnsi="Times New Roman" w:cs="Times New Roman"/>
          <w:sz w:val="24"/>
          <w:szCs w:val="24"/>
        </w:rPr>
        <w:t xml:space="preserve">determination of </w:t>
      </w:r>
      <w:r>
        <w:rPr>
          <w:rFonts w:ascii="Times New Roman" w:hAnsi="Times New Roman" w:cs="Times New Roman"/>
          <w:sz w:val="24"/>
          <w:szCs w:val="24"/>
        </w:rPr>
        <w:t>“fair price” was</w:t>
      </w:r>
      <w:r w:rsidR="00E40953">
        <w:rPr>
          <w:rFonts w:ascii="Times New Roman" w:hAnsi="Times New Roman" w:cs="Times New Roman"/>
          <w:sz w:val="24"/>
          <w:szCs w:val="24"/>
        </w:rPr>
        <w:t xml:space="preserve"> </w:t>
      </w:r>
      <w:r w:rsidR="0024533E">
        <w:rPr>
          <w:rFonts w:ascii="Times New Roman" w:hAnsi="Times New Roman" w:cs="Times New Roman"/>
          <w:sz w:val="24"/>
          <w:szCs w:val="24"/>
        </w:rPr>
        <w:t xml:space="preserve">affected </w:t>
      </w:r>
      <w:r w:rsidR="0051386C">
        <w:rPr>
          <w:rFonts w:ascii="Times New Roman" w:hAnsi="Times New Roman" w:cs="Times New Roman"/>
          <w:sz w:val="24"/>
          <w:szCs w:val="24"/>
        </w:rPr>
        <w:t>by hindsight a</w:t>
      </w:r>
      <w:r>
        <w:rPr>
          <w:rFonts w:ascii="Times New Roman" w:hAnsi="Times New Roman" w:cs="Times New Roman"/>
          <w:sz w:val="24"/>
          <w:szCs w:val="24"/>
        </w:rPr>
        <w:t>s well as benchmarks that likened Musk’s</w:t>
      </w:r>
      <w:r w:rsidR="0051386C">
        <w:rPr>
          <w:rFonts w:ascii="Times New Roman" w:hAnsi="Times New Roman" w:cs="Times New Roman"/>
          <w:sz w:val="24"/>
          <w:szCs w:val="24"/>
        </w:rPr>
        <w:t xml:space="preserve"> </w:t>
      </w:r>
      <w:r w:rsidR="0051386C" w:rsidRPr="00952A82">
        <w:rPr>
          <w:rFonts w:ascii="Times New Roman" w:hAnsi="Times New Roman" w:cs="Times New Roman"/>
          <w:sz w:val="24"/>
          <w:szCs w:val="24"/>
        </w:rPr>
        <w:t>performance</w:t>
      </w:r>
      <w:r w:rsidR="00CD74F1" w:rsidRPr="00952A82">
        <w:rPr>
          <w:rFonts w:ascii="Times New Roman" w:hAnsi="Times New Roman" w:cs="Times New Roman"/>
          <w:sz w:val="24"/>
          <w:szCs w:val="24"/>
        </w:rPr>
        <w:t xml:space="preserve"> </w:t>
      </w:r>
      <w:r>
        <w:rPr>
          <w:rFonts w:ascii="Times New Roman" w:hAnsi="Times New Roman" w:cs="Times New Roman"/>
          <w:sz w:val="24"/>
          <w:szCs w:val="24"/>
        </w:rPr>
        <w:t>to</w:t>
      </w:r>
      <w:r w:rsidRPr="00952A82">
        <w:rPr>
          <w:rFonts w:ascii="Times New Roman" w:hAnsi="Times New Roman" w:cs="Times New Roman"/>
          <w:sz w:val="24"/>
          <w:szCs w:val="24"/>
        </w:rPr>
        <w:t xml:space="preserve"> </w:t>
      </w:r>
      <w:r w:rsidR="00CF153A" w:rsidRPr="00952A82">
        <w:rPr>
          <w:rFonts w:ascii="Times New Roman" w:hAnsi="Times New Roman" w:cs="Times New Roman"/>
          <w:sz w:val="24"/>
          <w:szCs w:val="24"/>
        </w:rPr>
        <w:t>that of an average CEO</w:t>
      </w:r>
      <w:r w:rsidR="000104E0" w:rsidRPr="00952A82">
        <w:rPr>
          <w:rFonts w:ascii="Times New Roman" w:hAnsi="Times New Roman" w:cs="Times New Roman"/>
          <w:sz w:val="24"/>
          <w:szCs w:val="24"/>
        </w:rPr>
        <w:t>.</w:t>
      </w:r>
    </w:p>
    <w:p w14:paraId="11A8FABC" w14:textId="515619B4" w:rsidR="006563A5" w:rsidRPr="00952A82" w:rsidRDefault="0048298E" w:rsidP="00B54C7C">
      <w:pPr>
        <w:spacing w:after="0" w:line="360" w:lineRule="auto"/>
        <w:ind w:firstLine="720"/>
        <w:jc w:val="both"/>
        <w:rPr>
          <w:rFonts w:ascii="Times New Roman" w:hAnsi="Times New Roman" w:cs="Times New Roman"/>
          <w:sz w:val="24"/>
          <w:szCs w:val="24"/>
        </w:rPr>
      </w:pPr>
      <w:r w:rsidRPr="00952A82">
        <w:rPr>
          <w:rFonts w:ascii="Times New Roman" w:hAnsi="Times New Roman" w:cs="Times New Roman"/>
          <w:i/>
          <w:iCs/>
          <w:sz w:val="24"/>
          <w:szCs w:val="24"/>
        </w:rPr>
        <w:t xml:space="preserve">Special Committee Process. </w:t>
      </w:r>
      <w:r w:rsidR="00757354" w:rsidRPr="00952A82">
        <w:rPr>
          <w:rFonts w:ascii="Times New Roman" w:hAnsi="Times New Roman" w:cs="Times New Roman"/>
          <w:sz w:val="24"/>
          <w:szCs w:val="24"/>
        </w:rPr>
        <w:t>In addition to pay benchmarks, t</w:t>
      </w:r>
      <w:r w:rsidR="00A94D0B" w:rsidRPr="00952A82">
        <w:rPr>
          <w:rFonts w:ascii="Times New Roman" w:hAnsi="Times New Roman" w:cs="Times New Roman"/>
          <w:sz w:val="24"/>
          <w:szCs w:val="24"/>
        </w:rPr>
        <w:t xml:space="preserve">he court </w:t>
      </w:r>
      <w:r w:rsidR="00DA6A65" w:rsidRPr="00952A82">
        <w:rPr>
          <w:rFonts w:ascii="Times New Roman" w:hAnsi="Times New Roman" w:cs="Times New Roman"/>
          <w:sz w:val="24"/>
          <w:szCs w:val="24"/>
        </w:rPr>
        <w:t>heavily weighted the</w:t>
      </w:r>
      <w:r w:rsidR="00A94D0B" w:rsidRPr="00952A82">
        <w:rPr>
          <w:rFonts w:ascii="Times New Roman" w:hAnsi="Times New Roman" w:cs="Times New Roman"/>
          <w:sz w:val="24"/>
          <w:szCs w:val="24"/>
        </w:rPr>
        <w:t xml:space="preserve"> special committee’s negotiating </w:t>
      </w:r>
      <w:r w:rsidR="00A94D0B" w:rsidRPr="00952A82">
        <w:rPr>
          <w:rFonts w:ascii="Times New Roman" w:hAnsi="Times New Roman" w:cs="Times New Roman"/>
          <w:i/>
          <w:iCs/>
          <w:sz w:val="24"/>
          <w:szCs w:val="24"/>
        </w:rPr>
        <w:t>process</w:t>
      </w:r>
      <w:r w:rsidR="00BA1FB7" w:rsidRPr="00952A82">
        <w:rPr>
          <w:rFonts w:ascii="Times New Roman" w:hAnsi="Times New Roman" w:cs="Times New Roman"/>
          <w:sz w:val="24"/>
          <w:szCs w:val="24"/>
        </w:rPr>
        <w:t xml:space="preserve"> in eval</w:t>
      </w:r>
      <w:r w:rsidR="002F29DE" w:rsidRPr="00952A82">
        <w:rPr>
          <w:rFonts w:ascii="Times New Roman" w:hAnsi="Times New Roman" w:cs="Times New Roman"/>
          <w:sz w:val="24"/>
          <w:szCs w:val="24"/>
        </w:rPr>
        <w:t xml:space="preserve">uating whether the </w:t>
      </w:r>
      <w:r w:rsidR="002F29DE" w:rsidRPr="00952A82">
        <w:rPr>
          <w:rFonts w:ascii="Times New Roman" w:hAnsi="Times New Roman" w:cs="Times New Roman"/>
          <w:i/>
          <w:iCs/>
          <w:sz w:val="24"/>
          <w:szCs w:val="24"/>
        </w:rPr>
        <w:t>price</w:t>
      </w:r>
      <w:r w:rsidR="002F29DE" w:rsidRPr="00952A82">
        <w:rPr>
          <w:rFonts w:ascii="Times New Roman" w:hAnsi="Times New Roman" w:cs="Times New Roman"/>
          <w:sz w:val="24"/>
          <w:szCs w:val="24"/>
        </w:rPr>
        <w:t xml:space="preserve"> </w:t>
      </w:r>
      <w:r w:rsidR="006563A5" w:rsidRPr="00952A82">
        <w:rPr>
          <w:rFonts w:ascii="Times New Roman" w:hAnsi="Times New Roman" w:cs="Times New Roman"/>
          <w:sz w:val="24"/>
          <w:szCs w:val="24"/>
        </w:rPr>
        <w:t xml:space="preserve">was </w:t>
      </w:r>
      <w:r w:rsidR="002F29DE" w:rsidRPr="00952A82">
        <w:rPr>
          <w:rFonts w:ascii="Times New Roman" w:hAnsi="Times New Roman" w:cs="Times New Roman"/>
          <w:sz w:val="24"/>
          <w:szCs w:val="24"/>
        </w:rPr>
        <w:t>fair</w:t>
      </w:r>
      <w:r w:rsidR="00AB041E" w:rsidRPr="00952A82">
        <w:rPr>
          <w:rFonts w:ascii="Times New Roman" w:hAnsi="Times New Roman" w:cs="Times New Roman"/>
          <w:sz w:val="24"/>
          <w:szCs w:val="24"/>
        </w:rPr>
        <w:t>—as the court put it, “process can infect price</w:t>
      </w:r>
      <w:r w:rsidR="005F3138" w:rsidRPr="00952A82">
        <w:rPr>
          <w:rFonts w:ascii="Times New Roman" w:hAnsi="Times New Roman" w:cs="Times New Roman"/>
          <w:sz w:val="24"/>
          <w:szCs w:val="24"/>
        </w:rPr>
        <w:t>.</w:t>
      </w:r>
      <w:r w:rsidR="00AB041E" w:rsidRPr="00952A82">
        <w:rPr>
          <w:rFonts w:ascii="Times New Roman" w:hAnsi="Times New Roman" w:cs="Times New Roman"/>
          <w:sz w:val="24"/>
          <w:szCs w:val="24"/>
        </w:rPr>
        <w:t>”</w:t>
      </w:r>
      <w:r w:rsidR="00AB041E" w:rsidRPr="00952A82">
        <w:rPr>
          <w:rStyle w:val="FootnoteReference"/>
          <w:rFonts w:ascii="Times New Roman" w:hAnsi="Times New Roman" w:cs="Times New Roman"/>
          <w:sz w:val="24"/>
          <w:szCs w:val="24"/>
        </w:rPr>
        <w:footnoteReference w:id="197"/>
      </w:r>
      <w:r w:rsidR="005F3138" w:rsidRPr="00952A82">
        <w:rPr>
          <w:rFonts w:ascii="Times New Roman" w:hAnsi="Times New Roman" w:cs="Times New Roman"/>
          <w:sz w:val="24"/>
          <w:szCs w:val="24"/>
        </w:rPr>
        <w:t xml:space="preserve"> </w:t>
      </w:r>
      <w:r w:rsidR="00317A30" w:rsidRPr="00952A82">
        <w:rPr>
          <w:rFonts w:ascii="Times New Roman" w:hAnsi="Times New Roman" w:cs="Times New Roman"/>
          <w:sz w:val="24"/>
          <w:szCs w:val="24"/>
        </w:rPr>
        <w:t>It</w:t>
      </w:r>
      <w:r w:rsidR="006563A5" w:rsidRPr="00952A82">
        <w:rPr>
          <w:rFonts w:ascii="Times New Roman" w:hAnsi="Times New Roman" w:cs="Times New Roman"/>
          <w:sz w:val="24"/>
          <w:szCs w:val="24"/>
        </w:rPr>
        <w:t xml:space="preserve"> concluded that because </w:t>
      </w:r>
      <w:r w:rsidR="00615BD1" w:rsidRPr="00952A82">
        <w:rPr>
          <w:rFonts w:ascii="Times New Roman" w:hAnsi="Times New Roman" w:cs="Times New Roman"/>
          <w:sz w:val="24"/>
          <w:szCs w:val="24"/>
        </w:rPr>
        <w:t xml:space="preserve">the process </w:t>
      </w:r>
      <w:r w:rsidR="006563A5" w:rsidRPr="00952A82">
        <w:rPr>
          <w:rFonts w:ascii="Times New Roman" w:hAnsi="Times New Roman" w:cs="Times New Roman"/>
          <w:sz w:val="24"/>
          <w:szCs w:val="24"/>
        </w:rPr>
        <w:t>lacked</w:t>
      </w:r>
      <w:r w:rsidR="00615BD1" w:rsidRPr="00952A82">
        <w:rPr>
          <w:rFonts w:ascii="Times New Roman" w:hAnsi="Times New Roman" w:cs="Times New Roman"/>
          <w:sz w:val="24"/>
          <w:szCs w:val="24"/>
        </w:rPr>
        <w:t xml:space="preserve"> disinterested and adversarial negotiation, </w:t>
      </w:r>
      <w:r w:rsidR="006563A5" w:rsidRPr="00952A82">
        <w:rPr>
          <w:rFonts w:ascii="Times New Roman" w:hAnsi="Times New Roman" w:cs="Times New Roman"/>
          <w:sz w:val="24"/>
          <w:szCs w:val="24"/>
        </w:rPr>
        <w:t>the court</w:t>
      </w:r>
      <w:r w:rsidR="0037156F" w:rsidRPr="00952A82">
        <w:rPr>
          <w:rFonts w:ascii="Times New Roman" w:hAnsi="Times New Roman" w:cs="Times New Roman"/>
          <w:sz w:val="24"/>
          <w:szCs w:val="24"/>
        </w:rPr>
        <w:t xml:space="preserve"> could not</w:t>
      </w:r>
      <w:r w:rsidR="00615BD1" w:rsidRPr="00952A82">
        <w:rPr>
          <w:rFonts w:ascii="Times New Roman" w:hAnsi="Times New Roman" w:cs="Times New Roman"/>
          <w:sz w:val="24"/>
          <w:szCs w:val="24"/>
        </w:rPr>
        <w:t xml:space="preserve"> trust the price</w:t>
      </w:r>
      <w:r w:rsidR="003D31B9">
        <w:rPr>
          <w:rFonts w:ascii="Times New Roman" w:hAnsi="Times New Roman" w:cs="Times New Roman"/>
          <w:sz w:val="24"/>
          <w:szCs w:val="24"/>
        </w:rPr>
        <w:t>. It therefore</w:t>
      </w:r>
      <w:r w:rsidR="00AB041E" w:rsidRPr="00952A82">
        <w:rPr>
          <w:rFonts w:ascii="Times New Roman" w:hAnsi="Times New Roman" w:cs="Times New Roman"/>
          <w:sz w:val="24"/>
          <w:szCs w:val="24"/>
        </w:rPr>
        <w:t xml:space="preserve"> rejected all of Tesla’s arguments supporting the grant—including that the compensation package was necessary to keep Musk engaged and focused on the company’s ambitious goals</w:t>
      </w:r>
      <w:r w:rsidR="00615BD1" w:rsidRPr="00952A82">
        <w:rPr>
          <w:rFonts w:ascii="Times New Roman" w:hAnsi="Times New Roman" w:cs="Times New Roman"/>
          <w:sz w:val="24"/>
          <w:szCs w:val="24"/>
        </w:rPr>
        <w:t>.</w:t>
      </w:r>
      <w:r w:rsidR="00AB041E" w:rsidRPr="00952A82">
        <w:rPr>
          <w:rStyle w:val="FootnoteReference"/>
          <w:rFonts w:ascii="Times New Roman" w:hAnsi="Times New Roman" w:cs="Times New Roman"/>
          <w:sz w:val="24"/>
          <w:szCs w:val="24"/>
        </w:rPr>
        <w:footnoteReference w:id="198"/>
      </w:r>
      <w:r w:rsidR="00AB041E" w:rsidRPr="00952A82">
        <w:rPr>
          <w:rFonts w:ascii="Times New Roman" w:hAnsi="Times New Roman" w:cs="Times New Roman"/>
          <w:sz w:val="24"/>
          <w:szCs w:val="24"/>
        </w:rPr>
        <w:t xml:space="preserve"> </w:t>
      </w:r>
    </w:p>
    <w:p w14:paraId="6FFF25AB" w14:textId="4D9C8661" w:rsidR="00127324" w:rsidRDefault="00ED0F79" w:rsidP="00B54C7C">
      <w:pPr>
        <w:spacing w:after="0" w:line="360" w:lineRule="auto"/>
        <w:ind w:firstLine="720"/>
        <w:jc w:val="both"/>
        <w:rPr>
          <w:rFonts w:ascii="Times New Roman" w:hAnsi="Times New Roman" w:cs="Times New Roman"/>
          <w:sz w:val="24"/>
          <w:szCs w:val="24"/>
        </w:rPr>
      </w:pPr>
      <w:r w:rsidRPr="00952A82">
        <w:rPr>
          <w:rFonts w:ascii="Times New Roman" w:hAnsi="Times New Roman" w:cs="Times New Roman"/>
          <w:sz w:val="24"/>
          <w:szCs w:val="24"/>
        </w:rPr>
        <w:t xml:space="preserve">Reliance </w:t>
      </w:r>
      <w:r w:rsidR="00903410" w:rsidRPr="00952A82">
        <w:rPr>
          <w:rFonts w:ascii="Times New Roman" w:hAnsi="Times New Roman" w:cs="Times New Roman"/>
          <w:sz w:val="24"/>
          <w:szCs w:val="24"/>
        </w:rPr>
        <w:t xml:space="preserve">on the special committee bargaining </w:t>
      </w:r>
      <w:r w:rsidRPr="00952A82">
        <w:rPr>
          <w:rFonts w:ascii="Times New Roman" w:hAnsi="Times New Roman" w:cs="Times New Roman"/>
          <w:sz w:val="24"/>
          <w:szCs w:val="24"/>
        </w:rPr>
        <w:t xml:space="preserve">process to determine the </w:t>
      </w:r>
      <w:r w:rsidR="00C32F17" w:rsidRPr="00952A82">
        <w:rPr>
          <w:rFonts w:ascii="Times New Roman" w:hAnsi="Times New Roman" w:cs="Times New Roman"/>
          <w:sz w:val="24"/>
          <w:szCs w:val="24"/>
        </w:rPr>
        <w:t xml:space="preserve">value of </w:t>
      </w:r>
      <w:r w:rsidR="005F0D66" w:rsidRPr="00952A82">
        <w:rPr>
          <w:rFonts w:ascii="Times New Roman" w:hAnsi="Times New Roman" w:cs="Times New Roman"/>
          <w:sz w:val="24"/>
          <w:szCs w:val="24"/>
        </w:rPr>
        <w:t>the controller’s vision suffers from several shortcomings</w:t>
      </w:r>
      <w:r w:rsidR="005F0D66" w:rsidRPr="0042152F">
        <w:rPr>
          <w:rFonts w:ascii="Times New Roman" w:hAnsi="Times New Roman" w:cs="Times New Roman"/>
          <w:sz w:val="24"/>
          <w:szCs w:val="24"/>
        </w:rPr>
        <w:t>.</w:t>
      </w:r>
      <w:r w:rsidR="006563A5" w:rsidRPr="0042152F">
        <w:rPr>
          <w:rFonts w:ascii="Times New Roman" w:hAnsi="Times New Roman" w:cs="Times New Roman"/>
          <w:sz w:val="24"/>
          <w:szCs w:val="24"/>
        </w:rPr>
        <w:t xml:space="preserve"> </w:t>
      </w:r>
      <w:r w:rsidR="005F0D66" w:rsidRPr="0042152F">
        <w:rPr>
          <w:rFonts w:ascii="Times New Roman" w:hAnsi="Times New Roman" w:cs="Times New Roman"/>
          <w:sz w:val="24"/>
          <w:szCs w:val="24"/>
        </w:rPr>
        <w:t>First</w:t>
      </w:r>
      <w:r w:rsidR="00DA6A65" w:rsidRPr="0042152F">
        <w:rPr>
          <w:rFonts w:ascii="Times New Roman" w:hAnsi="Times New Roman" w:cs="Times New Roman"/>
          <w:sz w:val="24"/>
          <w:szCs w:val="24"/>
        </w:rPr>
        <w:t>, as</w:t>
      </w:r>
      <w:r w:rsidR="009D4553" w:rsidRPr="0042152F">
        <w:rPr>
          <w:rFonts w:ascii="Times New Roman" w:hAnsi="Times New Roman" w:cs="Times New Roman"/>
          <w:sz w:val="24"/>
          <w:szCs w:val="24"/>
        </w:rPr>
        <w:t xml:space="preserve"> </w:t>
      </w:r>
      <w:r w:rsidR="00000594" w:rsidRPr="0042152F">
        <w:rPr>
          <w:rFonts w:ascii="Times New Roman" w:hAnsi="Times New Roman" w:cs="Times New Roman"/>
          <w:sz w:val="24"/>
          <w:szCs w:val="24"/>
        </w:rPr>
        <w:t xml:space="preserve">we explained in </w:t>
      </w:r>
      <w:r w:rsidR="00FC4E99" w:rsidRPr="0042152F">
        <w:rPr>
          <w:rFonts w:ascii="Times New Roman" w:hAnsi="Times New Roman" w:cs="Times New Roman"/>
          <w:sz w:val="24"/>
          <w:szCs w:val="24"/>
        </w:rPr>
        <w:t xml:space="preserve">Part </w:t>
      </w:r>
      <w:r w:rsidR="003E0314" w:rsidRPr="0042152F">
        <w:rPr>
          <w:rFonts w:ascii="Times New Roman" w:hAnsi="Times New Roman" w:cs="Times New Roman"/>
          <w:sz w:val="24"/>
          <w:szCs w:val="24"/>
        </w:rPr>
        <w:t>I.A</w:t>
      </w:r>
      <w:r w:rsidR="00FC4E99" w:rsidRPr="0042152F">
        <w:rPr>
          <w:rFonts w:ascii="Times New Roman" w:hAnsi="Times New Roman" w:cs="Times New Roman"/>
          <w:sz w:val="24"/>
          <w:szCs w:val="24"/>
        </w:rPr>
        <w:t xml:space="preserve">, </w:t>
      </w:r>
      <w:r w:rsidR="00CE4B5D">
        <w:rPr>
          <w:rFonts w:ascii="Times New Roman" w:hAnsi="Times New Roman" w:cs="Times New Roman"/>
          <w:sz w:val="24"/>
          <w:szCs w:val="24"/>
        </w:rPr>
        <w:t xml:space="preserve">the </w:t>
      </w:r>
      <w:r w:rsidR="00B72308">
        <w:rPr>
          <w:rFonts w:ascii="Times New Roman" w:hAnsi="Times New Roman" w:cs="Times New Roman"/>
          <w:sz w:val="24"/>
          <w:szCs w:val="24"/>
        </w:rPr>
        <w:t>court</w:t>
      </w:r>
      <w:r w:rsidR="00754052">
        <w:rPr>
          <w:rFonts w:ascii="Times New Roman" w:hAnsi="Times New Roman" w:cs="Times New Roman"/>
          <w:sz w:val="24"/>
          <w:szCs w:val="24"/>
        </w:rPr>
        <w:t xml:space="preserve">’s </w:t>
      </w:r>
      <w:r w:rsidR="00664A5A">
        <w:rPr>
          <w:rFonts w:ascii="Times New Roman" w:hAnsi="Times New Roman" w:cs="Times New Roman"/>
          <w:sz w:val="24"/>
          <w:szCs w:val="24"/>
        </w:rPr>
        <w:t>ability</w:t>
      </w:r>
      <w:r w:rsidR="006F6574">
        <w:rPr>
          <w:rFonts w:ascii="Times New Roman" w:hAnsi="Times New Roman" w:cs="Times New Roman"/>
          <w:sz w:val="24"/>
          <w:szCs w:val="24"/>
        </w:rPr>
        <w:t xml:space="preserve"> to </w:t>
      </w:r>
      <w:r w:rsidR="006A4570">
        <w:rPr>
          <w:rFonts w:ascii="Times New Roman" w:hAnsi="Times New Roman" w:cs="Times New Roman"/>
          <w:sz w:val="24"/>
          <w:szCs w:val="24"/>
        </w:rPr>
        <w:t xml:space="preserve">assess the fairness of the process also relies on </w:t>
      </w:r>
      <w:r w:rsidR="00754052">
        <w:rPr>
          <w:rFonts w:ascii="Times New Roman" w:hAnsi="Times New Roman" w:cs="Times New Roman"/>
          <w:sz w:val="24"/>
          <w:szCs w:val="24"/>
        </w:rPr>
        <w:t xml:space="preserve">its </w:t>
      </w:r>
      <w:r w:rsidR="006A4570">
        <w:rPr>
          <w:rFonts w:ascii="Times New Roman" w:hAnsi="Times New Roman" w:cs="Times New Roman"/>
          <w:sz w:val="24"/>
          <w:szCs w:val="24"/>
        </w:rPr>
        <w:t xml:space="preserve">ability to evaluate the fairness of the price. </w:t>
      </w:r>
      <w:r w:rsidR="00CE4B5D" w:rsidRPr="0042152F">
        <w:rPr>
          <w:rFonts w:ascii="Times New Roman" w:hAnsi="Times New Roman" w:cs="Times New Roman"/>
          <w:sz w:val="24"/>
          <w:szCs w:val="24"/>
        </w:rPr>
        <w:t xml:space="preserve">Recall that the starting point for bargaining is an assessment of the value of the proposed transaction for the company and minority shareholders. </w:t>
      </w:r>
      <w:r w:rsidR="00127324" w:rsidRPr="0042152F">
        <w:rPr>
          <w:rFonts w:ascii="Times New Roman" w:hAnsi="Times New Roman" w:cs="Times New Roman"/>
          <w:sz w:val="24"/>
          <w:szCs w:val="24"/>
        </w:rPr>
        <w:t xml:space="preserve">But when idiosyncratic vision is at stake, </w:t>
      </w:r>
      <w:r w:rsidR="00127324" w:rsidRPr="0042152F">
        <w:rPr>
          <w:rFonts w:ascii="Times New Roman" w:hAnsi="Times New Roman" w:cs="Times New Roman"/>
          <w:sz w:val="24"/>
          <w:szCs w:val="24"/>
        </w:rPr>
        <w:lastRenderedPageBreak/>
        <w:t xml:space="preserve">the starting point is uncertain. </w:t>
      </w:r>
      <w:r w:rsidR="00127324" w:rsidRPr="0042152F">
        <w:rPr>
          <w:rFonts w:ascii="Times New Roman" w:eastAsia="NewBaskervilleITCPro-Roman" w:hAnsi="Times New Roman" w:cs="Times New Roman"/>
          <w:kern w:val="0"/>
          <w:sz w:val="24"/>
          <w:szCs w:val="24"/>
        </w:rPr>
        <w:t>Moreover, valuation experts do not offer much to supplement this process.</w:t>
      </w:r>
      <w:r w:rsidR="00127324" w:rsidRPr="0042152F">
        <w:rPr>
          <w:rStyle w:val="FootnoteReference"/>
          <w:rFonts w:ascii="Times New Roman" w:eastAsia="NewBaskervilleITCPro-Roman" w:hAnsi="Times New Roman" w:cs="Times New Roman"/>
          <w:kern w:val="0"/>
          <w:sz w:val="24"/>
          <w:szCs w:val="24"/>
        </w:rPr>
        <w:footnoteReference w:id="199"/>
      </w:r>
      <w:r w:rsidR="00127324">
        <w:rPr>
          <w:rFonts w:ascii="Times New Roman" w:eastAsia="NewBaskervilleITCPro-Roman" w:hAnsi="Times New Roman" w:cs="Times New Roman"/>
          <w:kern w:val="0"/>
          <w:sz w:val="24"/>
          <w:szCs w:val="24"/>
        </w:rPr>
        <w:t xml:space="preserve"> </w:t>
      </w:r>
      <w:r w:rsidR="00BC167A" w:rsidRPr="0042152F">
        <w:rPr>
          <w:rFonts w:ascii="Times New Roman" w:eastAsia="NewBaskervilleITCPro-Roman" w:hAnsi="Times New Roman" w:cs="Times New Roman"/>
          <w:kern w:val="0"/>
          <w:sz w:val="24"/>
          <w:szCs w:val="24"/>
        </w:rPr>
        <w:t>As a result, when the special committee negotiates against a visionary controller, the directors must decide whether to put faith in the</w:t>
      </w:r>
      <w:r w:rsidR="00BC167A" w:rsidRPr="0042152F">
        <w:rPr>
          <w:rFonts w:ascii="Times New Roman" w:hAnsi="Times New Roman" w:cs="Times New Roman"/>
          <w:sz w:val="24"/>
          <w:szCs w:val="24"/>
        </w:rPr>
        <w:t xml:space="preserve"> </w:t>
      </w:r>
      <w:r w:rsidR="00BC167A" w:rsidRPr="0042152F">
        <w:rPr>
          <w:rFonts w:ascii="Times New Roman" w:eastAsia="NewBaskervilleITCPro-Roman" w:hAnsi="Times New Roman" w:cs="Times New Roman"/>
          <w:kern w:val="0"/>
          <w:sz w:val="24"/>
          <w:szCs w:val="24"/>
        </w:rPr>
        <w:t>controller’s vision based on their knowledge of the controller’s competence</w:t>
      </w:r>
      <w:r w:rsidR="00BC167A" w:rsidRPr="0042152F">
        <w:rPr>
          <w:rFonts w:ascii="Times New Roman" w:hAnsi="Times New Roman" w:cs="Times New Roman"/>
          <w:sz w:val="24"/>
          <w:szCs w:val="24"/>
        </w:rPr>
        <w:t xml:space="preserve"> </w:t>
      </w:r>
      <w:r w:rsidR="00BC167A" w:rsidRPr="0042152F">
        <w:rPr>
          <w:rFonts w:ascii="Times New Roman" w:eastAsia="NewBaskervilleITCPro-Roman" w:hAnsi="Times New Roman" w:cs="Times New Roman"/>
          <w:kern w:val="0"/>
          <w:sz w:val="24"/>
          <w:szCs w:val="24"/>
        </w:rPr>
        <w:t>and integrity, as well as the firm’s performance to date.</w:t>
      </w:r>
      <w:r w:rsidR="00E71978">
        <w:rPr>
          <w:rFonts w:ascii="Times New Roman" w:eastAsia="NewBaskervilleITCPro-Roman" w:hAnsi="Times New Roman" w:cs="Times New Roman"/>
          <w:kern w:val="0"/>
          <w:sz w:val="24"/>
          <w:szCs w:val="24"/>
        </w:rPr>
        <w:t xml:space="preserve"> </w:t>
      </w:r>
      <w:r w:rsidR="003E773E">
        <w:rPr>
          <w:rFonts w:ascii="Times New Roman" w:eastAsia="NewBaskervilleITCPro-Roman" w:hAnsi="Times New Roman" w:cs="Times New Roman"/>
          <w:kern w:val="0"/>
          <w:sz w:val="24"/>
          <w:szCs w:val="24"/>
        </w:rPr>
        <w:t>T</w:t>
      </w:r>
      <w:r w:rsidR="00E71978" w:rsidRPr="0042152F">
        <w:rPr>
          <w:rFonts w:ascii="Times New Roman" w:hAnsi="Times New Roman" w:cs="Times New Roman"/>
          <w:sz w:val="24"/>
          <w:szCs w:val="24"/>
        </w:rPr>
        <w:t xml:space="preserve">he lack of a reliable measure of value makes it difficult for </w:t>
      </w:r>
      <w:r w:rsidR="00E71978">
        <w:rPr>
          <w:rFonts w:ascii="Times New Roman" w:hAnsi="Times New Roman" w:cs="Times New Roman"/>
          <w:sz w:val="24"/>
          <w:szCs w:val="24"/>
        </w:rPr>
        <w:t>the</w:t>
      </w:r>
      <w:r w:rsidR="00E71978" w:rsidRPr="0042152F">
        <w:rPr>
          <w:rFonts w:ascii="Times New Roman" w:hAnsi="Times New Roman" w:cs="Times New Roman"/>
          <w:sz w:val="24"/>
          <w:szCs w:val="24"/>
        </w:rPr>
        <w:t xml:space="preserve"> court to determine whether the process was appropriate.</w:t>
      </w:r>
    </w:p>
    <w:p w14:paraId="7BE29A0A" w14:textId="0ADC4821" w:rsidR="006563A5" w:rsidRPr="0042152F" w:rsidRDefault="00301803" w:rsidP="00B54C7C">
      <w:pPr>
        <w:spacing w:after="0" w:line="360" w:lineRule="auto"/>
        <w:ind w:firstLine="720"/>
        <w:jc w:val="both"/>
        <w:rPr>
          <w:rFonts w:ascii="Times New Roman" w:eastAsia="NewBaskervilleITCPro-Roman" w:hAnsi="Times New Roman" w:cs="Times New Roman"/>
          <w:kern w:val="0"/>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Tornetta,</w:t>
      </w:r>
      <w:r w:rsidR="00B72308">
        <w:rPr>
          <w:rFonts w:ascii="Times New Roman" w:hAnsi="Times New Roman" w:cs="Times New Roman"/>
          <w:sz w:val="24"/>
          <w:szCs w:val="24"/>
        </w:rPr>
        <w:t xml:space="preserve"> </w:t>
      </w:r>
      <w:r w:rsidR="00546A65" w:rsidRPr="0042152F">
        <w:rPr>
          <w:rFonts w:ascii="Times New Roman" w:hAnsi="Times New Roman" w:cs="Times New Roman"/>
          <w:sz w:val="24"/>
          <w:szCs w:val="24"/>
        </w:rPr>
        <w:t xml:space="preserve">the lack of </w:t>
      </w:r>
      <w:r w:rsidR="00916A81" w:rsidRPr="0042152F">
        <w:rPr>
          <w:rFonts w:ascii="Times New Roman" w:hAnsi="Times New Roman" w:cs="Times New Roman"/>
          <w:sz w:val="24"/>
          <w:szCs w:val="24"/>
        </w:rPr>
        <w:t>a</w:t>
      </w:r>
      <w:r w:rsidR="00A34643" w:rsidRPr="0042152F">
        <w:rPr>
          <w:rFonts w:ascii="Times New Roman" w:hAnsi="Times New Roman" w:cs="Times New Roman"/>
          <w:sz w:val="24"/>
          <w:szCs w:val="24"/>
        </w:rPr>
        <w:t xml:space="preserve"> reliable method for </w:t>
      </w:r>
      <w:r w:rsidR="00546A65" w:rsidRPr="0042152F">
        <w:rPr>
          <w:rFonts w:ascii="Times New Roman" w:hAnsi="Times New Roman" w:cs="Times New Roman"/>
          <w:sz w:val="24"/>
          <w:szCs w:val="24"/>
        </w:rPr>
        <w:t xml:space="preserve">valuing </w:t>
      </w:r>
      <w:r w:rsidR="006E051C">
        <w:rPr>
          <w:rFonts w:ascii="Times New Roman" w:hAnsi="Times New Roman" w:cs="Times New Roman"/>
          <w:sz w:val="24"/>
          <w:szCs w:val="24"/>
        </w:rPr>
        <w:t xml:space="preserve">and quantifying </w:t>
      </w:r>
      <w:r w:rsidR="00A13B64" w:rsidRPr="0042152F">
        <w:rPr>
          <w:rFonts w:ascii="Times New Roman" w:hAnsi="Times New Roman" w:cs="Times New Roman"/>
          <w:sz w:val="24"/>
          <w:szCs w:val="24"/>
        </w:rPr>
        <w:t xml:space="preserve">Musk’s </w:t>
      </w:r>
      <w:r w:rsidR="006E051C">
        <w:rPr>
          <w:rFonts w:ascii="Times New Roman" w:hAnsi="Times New Roman" w:cs="Times New Roman"/>
          <w:sz w:val="24"/>
          <w:szCs w:val="24"/>
        </w:rPr>
        <w:t>contribution to</w:t>
      </w:r>
      <w:r w:rsidR="00A13B64" w:rsidRPr="0042152F">
        <w:rPr>
          <w:rFonts w:ascii="Times New Roman" w:hAnsi="Times New Roman" w:cs="Times New Roman"/>
          <w:sz w:val="24"/>
          <w:szCs w:val="24"/>
        </w:rPr>
        <w:t xml:space="preserve"> Tesla</w:t>
      </w:r>
      <w:r w:rsidR="00546A65" w:rsidRPr="0042152F">
        <w:rPr>
          <w:rFonts w:ascii="Times New Roman" w:hAnsi="Times New Roman" w:cs="Times New Roman"/>
          <w:sz w:val="24"/>
          <w:szCs w:val="24"/>
        </w:rPr>
        <w:t xml:space="preserve"> significantly </w:t>
      </w:r>
      <w:r w:rsidR="00E71978" w:rsidRPr="0042152F">
        <w:rPr>
          <w:rFonts w:ascii="Times New Roman" w:hAnsi="Times New Roman" w:cs="Times New Roman"/>
          <w:sz w:val="24"/>
          <w:szCs w:val="24"/>
        </w:rPr>
        <w:t>undermine</w:t>
      </w:r>
      <w:r w:rsidR="00E71978">
        <w:rPr>
          <w:rFonts w:ascii="Times New Roman" w:hAnsi="Times New Roman" w:cs="Times New Roman"/>
          <w:sz w:val="24"/>
          <w:szCs w:val="24"/>
        </w:rPr>
        <w:t>d</w:t>
      </w:r>
      <w:r w:rsidR="00E71978" w:rsidRPr="0042152F">
        <w:rPr>
          <w:rFonts w:ascii="Times New Roman" w:hAnsi="Times New Roman" w:cs="Times New Roman"/>
          <w:sz w:val="24"/>
          <w:szCs w:val="24"/>
        </w:rPr>
        <w:t xml:space="preserve"> </w:t>
      </w:r>
      <w:r w:rsidR="00546A65" w:rsidRPr="0042152F">
        <w:rPr>
          <w:rFonts w:ascii="Times New Roman" w:hAnsi="Times New Roman" w:cs="Times New Roman"/>
          <w:sz w:val="24"/>
          <w:szCs w:val="24"/>
        </w:rPr>
        <w:t xml:space="preserve">the court’s ability </w:t>
      </w:r>
      <w:r w:rsidR="00916A81" w:rsidRPr="0042152F">
        <w:rPr>
          <w:rFonts w:ascii="Times New Roman" w:hAnsi="Times New Roman" w:cs="Times New Roman"/>
          <w:sz w:val="24"/>
          <w:szCs w:val="24"/>
        </w:rPr>
        <w:t xml:space="preserve">to </w:t>
      </w:r>
      <w:r w:rsidR="00DA6A65" w:rsidRPr="0042152F">
        <w:rPr>
          <w:rFonts w:ascii="Times New Roman" w:hAnsi="Times New Roman" w:cs="Times New Roman"/>
          <w:sz w:val="24"/>
          <w:szCs w:val="24"/>
        </w:rPr>
        <w:t>evaluate the special committee process.</w:t>
      </w:r>
      <w:r w:rsidR="00E71978">
        <w:rPr>
          <w:rFonts w:ascii="Times New Roman" w:hAnsi="Times New Roman" w:cs="Times New Roman"/>
          <w:sz w:val="24"/>
          <w:szCs w:val="24"/>
        </w:rPr>
        <w:t xml:space="preserve"> M</w:t>
      </w:r>
      <w:r w:rsidR="00F2779C" w:rsidRPr="0042152F">
        <w:rPr>
          <w:rFonts w:ascii="Times New Roman" w:eastAsia="NewBaskervilleITCPro-Roman" w:hAnsi="Times New Roman" w:cs="Times New Roman"/>
          <w:kern w:val="0"/>
          <w:sz w:val="24"/>
          <w:szCs w:val="24"/>
        </w:rPr>
        <w:t xml:space="preserve">embers of the compensation committee did not </w:t>
      </w:r>
      <w:r w:rsidR="00F11E2B" w:rsidRPr="0042152F">
        <w:rPr>
          <w:rFonts w:ascii="Times New Roman" w:eastAsia="NewBaskervilleITCPro-Roman" w:hAnsi="Times New Roman" w:cs="Times New Roman"/>
          <w:kern w:val="0"/>
          <w:sz w:val="24"/>
          <w:szCs w:val="24"/>
        </w:rPr>
        <w:t>hire</w:t>
      </w:r>
      <w:r w:rsidR="00F2779C" w:rsidRPr="0042152F">
        <w:rPr>
          <w:rFonts w:ascii="Times New Roman" w:eastAsia="NewBaskervilleITCPro-Roman" w:hAnsi="Times New Roman" w:cs="Times New Roman"/>
          <w:kern w:val="0"/>
          <w:sz w:val="24"/>
          <w:szCs w:val="24"/>
        </w:rPr>
        <w:t xml:space="preserve"> an expert to provide an evaluation of Musk’s expected contribution to Tesla</w:t>
      </w:r>
      <w:r w:rsidR="006563A5" w:rsidRPr="0042152F">
        <w:rPr>
          <w:rFonts w:ascii="Times New Roman" w:eastAsia="NewBaskervilleITCPro-Roman" w:hAnsi="Times New Roman" w:cs="Times New Roman"/>
          <w:kern w:val="0"/>
          <w:sz w:val="24"/>
          <w:szCs w:val="24"/>
        </w:rPr>
        <w:t>,</w:t>
      </w:r>
      <w:r w:rsidR="006563A5" w:rsidRPr="0042152F">
        <w:rPr>
          <w:rStyle w:val="FootnoteReference"/>
          <w:rFonts w:ascii="Times New Roman" w:eastAsia="NewBaskervilleITCPro-Roman" w:hAnsi="Times New Roman" w:cs="Times New Roman"/>
          <w:kern w:val="0"/>
          <w:sz w:val="24"/>
          <w:szCs w:val="24"/>
        </w:rPr>
        <w:footnoteReference w:id="200"/>
      </w:r>
      <w:r w:rsidR="00F2779C" w:rsidRPr="0042152F">
        <w:rPr>
          <w:rFonts w:ascii="Times New Roman" w:eastAsia="NewBaskervilleITCPro-Roman" w:hAnsi="Times New Roman" w:cs="Times New Roman"/>
          <w:kern w:val="0"/>
          <w:sz w:val="24"/>
          <w:szCs w:val="24"/>
        </w:rPr>
        <w:t xml:space="preserve"> </w:t>
      </w:r>
      <w:r w:rsidR="00DF777E">
        <w:rPr>
          <w:rFonts w:ascii="Times New Roman" w:eastAsia="NewBaskervilleITCPro-Roman" w:hAnsi="Times New Roman" w:cs="Times New Roman"/>
          <w:kern w:val="0"/>
          <w:sz w:val="24"/>
          <w:szCs w:val="24"/>
        </w:rPr>
        <w:t>which in any case would no</w:t>
      </w:r>
      <w:r w:rsidR="00475554">
        <w:rPr>
          <w:rFonts w:ascii="Times New Roman" w:eastAsia="NewBaskervilleITCPro-Roman" w:hAnsi="Times New Roman" w:cs="Times New Roman"/>
          <w:kern w:val="0"/>
          <w:sz w:val="24"/>
          <w:szCs w:val="24"/>
        </w:rPr>
        <w:t>t</w:t>
      </w:r>
      <w:r w:rsidR="00DF777E">
        <w:rPr>
          <w:rFonts w:ascii="Times New Roman" w:eastAsia="NewBaskervilleITCPro-Roman" w:hAnsi="Times New Roman" w:cs="Times New Roman"/>
          <w:kern w:val="0"/>
          <w:sz w:val="24"/>
          <w:szCs w:val="24"/>
        </w:rPr>
        <w:t xml:space="preserve"> have been useful</w:t>
      </w:r>
      <w:r w:rsidR="00F2779C" w:rsidRPr="0042152F">
        <w:rPr>
          <w:rFonts w:ascii="Times New Roman" w:eastAsia="NewBaskervilleITCPro-Roman" w:hAnsi="Times New Roman" w:cs="Times New Roman"/>
          <w:kern w:val="0"/>
          <w:sz w:val="24"/>
          <w:szCs w:val="24"/>
        </w:rPr>
        <w:t xml:space="preserve">. </w:t>
      </w:r>
      <w:r w:rsidR="006563A5" w:rsidRPr="0042152F">
        <w:rPr>
          <w:rFonts w:ascii="Times New Roman" w:eastAsia="NewBaskervilleITCPro-Roman" w:hAnsi="Times New Roman" w:cs="Times New Roman"/>
          <w:kern w:val="0"/>
          <w:sz w:val="24"/>
          <w:szCs w:val="24"/>
        </w:rPr>
        <w:t xml:space="preserve">Instead, </w:t>
      </w:r>
      <w:r w:rsidR="005C387D" w:rsidRPr="0042152F">
        <w:rPr>
          <w:rFonts w:ascii="Times New Roman" w:eastAsia="NewBaskervilleITCPro-Roman" w:hAnsi="Times New Roman" w:cs="Times New Roman"/>
          <w:kern w:val="0"/>
          <w:sz w:val="24"/>
          <w:szCs w:val="24"/>
        </w:rPr>
        <w:t>the committee decide</w:t>
      </w:r>
      <w:r w:rsidR="009A7FC2">
        <w:rPr>
          <w:rFonts w:ascii="Times New Roman" w:eastAsia="NewBaskervilleITCPro-Roman" w:hAnsi="Times New Roman" w:cs="Times New Roman"/>
          <w:kern w:val="0"/>
          <w:sz w:val="24"/>
          <w:szCs w:val="24"/>
        </w:rPr>
        <w:t>d</w:t>
      </w:r>
      <w:r w:rsidR="005C387D" w:rsidRPr="0042152F">
        <w:rPr>
          <w:rFonts w:ascii="Times New Roman" w:eastAsia="NewBaskervilleITCPro-Roman" w:hAnsi="Times New Roman" w:cs="Times New Roman"/>
          <w:kern w:val="0"/>
          <w:sz w:val="24"/>
          <w:szCs w:val="24"/>
        </w:rPr>
        <w:t xml:space="preserve"> to embrace </w:t>
      </w:r>
      <w:r w:rsidR="009A7FC2">
        <w:rPr>
          <w:rFonts w:ascii="Times New Roman" w:eastAsia="NewBaskervilleITCPro-Roman" w:hAnsi="Times New Roman" w:cs="Times New Roman"/>
          <w:kern w:val="0"/>
          <w:sz w:val="24"/>
          <w:szCs w:val="24"/>
        </w:rPr>
        <w:t>Musk</w:t>
      </w:r>
      <w:r w:rsidR="005C387D" w:rsidRPr="0042152F">
        <w:rPr>
          <w:rFonts w:ascii="Times New Roman" w:eastAsia="NewBaskervilleITCPro-Roman" w:hAnsi="Times New Roman" w:cs="Times New Roman"/>
          <w:kern w:val="0"/>
          <w:sz w:val="24"/>
          <w:szCs w:val="24"/>
        </w:rPr>
        <w:t>’s vision,</w:t>
      </w:r>
      <w:r w:rsidR="009A7FC2">
        <w:rPr>
          <w:rFonts w:ascii="Times New Roman" w:eastAsia="NewBaskervilleITCPro-Roman" w:hAnsi="Times New Roman" w:cs="Times New Roman"/>
          <w:kern w:val="0"/>
          <w:sz w:val="24"/>
          <w:szCs w:val="24"/>
        </w:rPr>
        <w:t xml:space="preserve"> </w:t>
      </w:r>
      <w:r w:rsidR="00592B60">
        <w:rPr>
          <w:rFonts w:ascii="Times New Roman" w:eastAsia="NewBaskervilleITCPro-Roman" w:hAnsi="Times New Roman" w:cs="Times New Roman"/>
          <w:kern w:val="0"/>
          <w:sz w:val="24"/>
          <w:szCs w:val="24"/>
        </w:rPr>
        <w:t>but tied the compensation to observable and verifiable performance metrics</w:t>
      </w:r>
      <w:r w:rsidR="005C387D" w:rsidRPr="0042152F">
        <w:rPr>
          <w:rFonts w:ascii="Times New Roman" w:eastAsia="NewBaskervilleITCPro-Roman" w:hAnsi="Times New Roman" w:cs="Times New Roman"/>
          <w:kern w:val="0"/>
          <w:sz w:val="24"/>
          <w:szCs w:val="24"/>
        </w:rPr>
        <w:t xml:space="preserve">. </w:t>
      </w:r>
    </w:p>
    <w:p w14:paraId="487F7F8F" w14:textId="0827DB48" w:rsidR="00176B8E" w:rsidRPr="0042152F" w:rsidRDefault="005C387D"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If it is difficult for a board to engage in such negotiations, it is even more challenging for courts to evaluate them</w:t>
      </w:r>
      <w:r w:rsidR="00F666BE" w:rsidRPr="0042152F">
        <w:rPr>
          <w:rFonts w:ascii="Times New Roman" w:hAnsi="Times New Roman" w:cs="Times New Roman"/>
          <w:sz w:val="24"/>
          <w:szCs w:val="24"/>
        </w:rPr>
        <w:t xml:space="preserve"> </w:t>
      </w:r>
      <w:r w:rsidR="00F666BE" w:rsidRPr="0042152F">
        <w:rPr>
          <w:rFonts w:ascii="Times New Roman" w:hAnsi="Times New Roman" w:cs="Times New Roman"/>
          <w:i/>
          <w:iCs/>
          <w:sz w:val="24"/>
          <w:szCs w:val="24"/>
        </w:rPr>
        <w:t>ex post</w:t>
      </w:r>
      <w:r w:rsidRPr="0042152F">
        <w:rPr>
          <w:rFonts w:ascii="Times New Roman" w:hAnsi="Times New Roman" w:cs="Times New Roman"/>
          <w:sz w:val="24"/>
          <w:szCs w:val="24"/>
        </w:rPr>
        <w:t xml:space="preserve">. </w:t>
      </w:r>
      <w:r w:rsidR="00650028">
        <w:rPr>
          <w:rFonts w:ascii="Times New Roman" w:hAnsi="Times New Roman" w:cs="Times New Roman"/>
          <w:sz w:val="24"/>
          <w:szCs w:val="24"/>
        </w:rPr>
        <w:t>Without an estimate of value</w:t>
      </w:r>
      <w:r w:rsidR="00282EFB">
        <w:rPr>
          <w:rFonts w:ascii="Times New Roman" w:hAnsi="Times New Roman" w:cs="Times New Roman"/>
          <w:sz w:val="24"/>
          <w:szCs w:val="24"/>
        </w:rPr>
        <w:t>, t</w:t>
      </w:r>
      <w:r w:rsidR="00F666BE" w:rsidRPr="0042152F">
        <w:rPr>
          <w:rFonts w:ascii="Times New Roman" w:hAnsi="Times New Roman" w:cs="Times New Roman"/>
          <w:sz w:val="24"/>
          <w:szCs w:val="24"/>
        </w:rPr>
        <w:t>he</w:t>
      </w:r>
      <w:r w:rsidR="00357C6F" w:rsidRPr="0042152F">
        <w:rPr>
          <w:rFonts w:ascii="Times New Roman" w:hAnsi="Times New Roman" w:cs="Times New Roman"/>
          <w:sz w:val="24"/>
          <w:szCs w:val="24"/>
        </w:rPr>
        <w:t xml:space="preserve"> </w:t>
      </w:r>
      <w:r w:rsidR="00357C6F" w:rsidRPr="0042152F">
        <w:rPr>
          <w:rFonts w:ascii="Times New Roman" w:hAnsi="Times New Roman" w:cs="Times New Roman"/>
          <w:i/>
          <w:iCs/>
          <w:sz w:val="24"/>
          <w:szCs w:val="24"/>
        </w:rPr>
        <w:t>Tornetta</w:t>
      </w:r>
      <w:r w:rsidR="00F666BE" w:rsidRPr="0042152F">
        <w:rPr>
          <w:rFonts w:ascii="Times New Roman" w:hAnsi="Times New Roman" w:cs="Times New Roman"/>
          <w:sz w:val="24"/>
          <w:szCs w:val="24"/>
        </w:rPr>
        <w:t xml:space="preserve"> court focused on the board’s negotiation style and </w:t>
      </w:r>
      <w:r w:rsidR="00DF6144" w:rsidRPr="0042152F">
        <w:rPr>
          <w:rFonts w:ascii="Times New Roman" w:hAnsi="Times New Roman" w:cs="Times New Roman"/>
          <w:sz w:val="24"/>
          <w:szCs w:val="24"/>
        </w:rPr>
        <w:t xml:space="preserve">criticized </w:t>
      </w:r>
      <w:r w:rsidR="00F666BE" w:rsidRPr="0042152F">
        <w:rPr>
          <w:rFonts w:ascii="Times New Roman" w:hAnsi="Times New Roman" w:cs="Times New Roman"/>
          <w:sz w:val="24"/>
          <w:szCs w:val="24"/>
        </w:rPr>
        <w:t>the board for a lack of adversarial negotiations.</w:t>
      </w:r>
      <w:r w:rsidR="00357C6F" w:rsidRPr="0042152F">
        <w:rPr>
          <w:rStyle w:val="FootnoteReference"/>
          <w:rFonts w:ascii="Times New Roman" w:hAnsi="Times New Roman" w:cs="Times New Roman"/>
          <w:sz w:val="24"/>
          <w:szCs w:val="24"/>
        </w:rPr>
        <w:footnoteReference w:id="201"/>
      </w:r>
      <w:r w:rsidR="00F666BE" w:rsidRPr="0042152F">
        <w:rPr>
          <w:rFonts w:ascii="Times New Roman" w:hAnsi="Times New Roman" w:cs="Times New Roman"/>
          <w:sz w:val="24"/>
          <w:szCs w:val="24"/>
        </w:rPr>
        <w:t xml:space="preserve"> </w:t>
      </w:r>
      <w:r w:rsidR="00176B8E">
        <w:rPr>
          <w:rFonts w:ascii="Times New Roman" w:hAnsi="Times New Roman" w:cs="Times New Roman"/>
          <w:sz w:val="24"/>
          <w:szCs w:val="24"/>
        </w:rPr>
        <w:t>But</w:t>
      </w:r>
      <w:r w:rsidR="00283859" w:rsidRPr="0042152F">
        <w:rPr>
          <w:rFonts w:ascii="Times New Roman" w:hAnsi="Times New Roman" w:cs="Times New Roman"/>
          <w:sz w:val="24"/>
          <w:szCs w:val="24"/>
        </w:rPr>
        <w:t xml:space="preserve"> t</w:t>
      </w:r>
      <w:r w:rsidR="00F77E4F" w:rsidRPr="0042152F">
        <w:rPr>
          <w:rFonts w:ascii="Times New Roman" w:hAnsi="Times New Roman" w:cs="Times New Roman"/>
          <w:sz w:val="24"/>
          <w:szCs w:val="24"/>
        </w:rPr>
        <w:t xml:space="preserve">he nature of the transaction affects the </w:t>
      </w:r>
      <w:r w:rsidR="0042079F" w:rsidRPr="0042152F">
        <w:rPr>
          <w:rFonts w:ascii="Times New Roman" w:hAnsi="Times New Roman" w:cs="Times New Roman"/>
          <w:sz w:val="24"/>
          <w:szCs w:val="24"/>
        </w:rPr>
        <w:t xml:space="preserve">nature of </w:t>
      </w:r>
      <w:r w:rsidR="00F666BE" w:rsidRPr="0042152F">
        <w:rPr>
          <w:rFonts w:ascii="Times New Roman" w:hAnsi="Times New Roman" w:cs="Times New Roman"/>
          <w:sz w:val="24"/>
          <w:szCs w:val="24"/>
        </w:rPr>
        <w:t>effective</w:t>
      </w:r>
      <w:r w:rsidR="009D4553" w:rsidRPr="0042152F">
        <w:rPr>
          <w:rFonts w:ascii="Times New Roman" w:hAnsi="Times New Roman" w:cs="Times New Roman"/>
          <w:sz w:val="24"/>
          <w:szCs w:val="24"/>
        </w:rPr>
        <w:t xml:space="preserve"> negotiation</w:t>
      </w:r>
      <w:r w:rsidR="00F666BE" w:rsidRPr="0042152F">
        <w:rPr>
          <w:rFonts w:ascii="Times New Roman" w:hAnsi="Times New Roman" w:cs="Times New Roman"/>
          <w:sz w:val="24"/>
          <w:szCs w:val="24"/>
        </w:rPr>
        <w:t>s</w:t>
      </w:r>
      <w:r w:rsidR="00FA1495">
        <w:rPr>
          <w:rFonts w:ascii="Times New Roman" w:hAnsi="Times New Roman" w:cs="Times New Roman"/>
          <w:sz w:val="24"/>
          <w:szCs w:val="24"/>
        </w:rPr>
        <w:t>, whether adversarial or collaborative</w:t>
      </w:r>
      <w:r w:rsidR="0042079F" w:rsidRPr="0042152F">
        <w:rPr>
          <w:rFonts w:ascii="Times New Roman" w:hAnsi="Times New Roman" w:cs="Times New Roman"/>
          <w:sz w:val="24"/>
          <w:szCs w:val="24"/>
        </w:rPr>
        <w:t>.</w:t>
      </w:r>
      <w:r w:rsidR="009D4553" w:rsidRPr="0042152F">
        <w:rPr>
          <w:rFonts w:ascii="Times New Roman" w:hAnsi="Times New Roman" w:cs="Times New Roman"/>
          <w:sz w:val="24"/>
          <w:szCs w:val="24"/>
        </w:rPr>
        <w:t xml:space="preserve"> </w:t>
      </w:r>
      <w:r w:rsidR="001A6F98">
        <w:rPr>
          <w:rFonts w:ascii="Times New Roman" w:hAnsi="Times New Roman" w:cs="Times New Roman"/>
          <w:sz w:val="24"/>
          <w:szCs w:val="24"/>
        </w:rPr>
        <w:t xml:space="preserve">Adversarial </w:t>
      </w:r>
      <w:r w:rsidR="0061135A" w:rsidRPr="0042152F">
        <w:rPr>
          <w:rFonts w:ascii="Times New Roman" w:hAnsi="Times New Roman" w:cs="Times New Roman"/>
          <w:sz w:val="24"/>
          <w:szCs w:val="24"/>
        </w:rPr>
        <w:t xml:space="preserve">negotiations </w:t>
      </w:r>
      <w:r w:rsidR="009D4553" w:rsidRPr="0042152F">
        <w:rPr>
          <w:rFonts w:ascii="Times New Roman" w:hAnsi="Times New Roman" w:cs="Times New Roman"/>
          <w:sz w:val="24"/>
          <w:szCs w:val="24"/>
        </w:rPr>
        <w:t xml:space="preserve">can be </w:t>
      </w:r>
      <w:r w:rsidR="001A6F98">
        <w:rPr>
          <w:rFonts w:ascii="Times New Roman" w:hAnsi="Times New Roman" w:cs="Times New Roman"/>
          <w:sz w:val="24"/>
          <w:szCs w:val="24"/>
        </w:rPr>
        <w:t>effective</w:t>
      </w:r>
      <w:r w:rsidR="009D4553" w:rsidRPr="0042152F">
        <w:rPr>
          <w:rFonts w:ascii="Times New Roman" w:hAnsi="Times New Roman" w:cs="Times New Roman"/>
          <w:sz w:val="24"/>
          <w:szCs w:val="24"/>
        </w:rPr>
        <w:t xml:space="preserve"> where parties play hardball and bargain over a zero-sum transaction</w:t>
      </w:r>
      <w:r w:rsidR="001A6F98">
        <w:rPr>
          <w:rFonts w:ascii="Times New Roman" w:hAnsi="Times New Roman" w:cs="Times New Roman"/>
          <w:sz w:val="24"/>
          <w:szCs w:val="24"/>
        </w:rPr>
        <w:t>,</w:t>
      </w:r>
      <w:r w:rsidR="00797F99" w:rsidRPr="0042152F">
        <w:rPr>
          <w:rStyle w:val="FootnoteReference"/>
          <w:rFonts w:ascii="Times New Roman" w:hAnsi="Times New Roman" w:cs="Times New Roman"/>
          <w:sz w:val="24"/>
          <w:szCs w:val="24"/>
        </w:rPr>
        <w:footnoteReference w:id="202"/>
      </w:r>
      <w:r w:rsidR="001A6F98">
        <w:rPr>
          <w:rFonts w:ascii="Times New Roman" w:hAnsi="Times New Roman" w:cs="Times New Roman"/>
          <w:sz w:val="24"/>
          <w:szCs w:val="24"/>
        </w:rPr>
        <w:t xml:space="preserve"> </w:t>
      </w:r>
      <w:r w:rsidR="00A91A4B">
        <w:rPr>
          <w:rFonts w:ascii="Times New Roman" w:hAnsi="Times New Roman" w:cs="Times New Roman"/>
          <w:sz w:val="24"/>
          <w:szCs w:val="24"/>
        </w:rPr>
        <w:t>though</w:t>
      </w:r>
      <w:r w:rsidR="001A6F98">
        <w:rPr>
          <w:rFonts w:ascii="Times New Roman" w:hAnsi="Times New Roman" w:cs="Times New Roman"/>
          <w:sz w:val="24"/>
          <w:szCs w:val="24"/>
        </w:rPr>
        <w:t xml:space="preserve"> they can also backfire</w:t>
      </w:r>
      <w:r w:rsidR="009D4553" w:rsidRPr="0042152F">
        <w:rPr>
          <w:rFonts w:ascii="Times New Roman" w:hAnsi="Times New Roman" w:cs="Times New Roman"/>
          <w:sz w:val="24"/>
          <w:szCs w:val="24"/>
        </w:rPr>
        <w:t>.</w:t>
      </w:r>
      <w:r w:rsidR="00890933" w:rsidRPr="0042152F">
        <w:rPr>
          <w:rStyle w:val="FootnoteReference"/>
          <w:rFonts w:ascii="Times New Roman" w:hAnsi="Times New Roman" w:cs="Times New Roman"/>
          <w:sz w:val="24"/>
          <w:szCs w:val="24"/>
        </w:rPr>
        <w:footnoteReference w:id="203"/>
      </w:r>
      <w:r w:rsidR="009D4553" w:rsidRPr="0042152F">
        <w:rPr>
          <w:rFonts w:ascii="Times New Roman" w:hAnsi="Times New Roman" w:cs="Times New Roman"/>
          <w:sz w:val="24"/>
          <w:szCs w:val="24"/>
        </w:rPr>
        <w:t xml:space="preserve"> </w:t>
      </w:r>
      <w:r w:rsidR="00BF2194">
        <w:rPr>
          <w:rFonts w:ascii="Times New Roman" w:hAnsi="Times New Roman" w:cs="Times New Roman"/>
          <w:sz w:val="24"/>
          <w:szCs w:val="24"/>
        </w:rPr>
        <w:t>And c</w:t>
      </w:r>
      <w:r w:rsidR="00BF2194" w:rsidRPr="0042152F">
        <w:rPr>
          <w:rFonts w:ascii="Times New Roman" w:hAnsi="Times New Roman" w:cs="Times New Roman"/>
          <w:sz w:val="24"/>
          <w:szCs w:val="24"/>
        </w:rPr>
        <w:t>ollaborative</w:t>
      </w:r>
      <w:r w:rsidR="00BF2194">
        <w:rPr>
          <w:rFonts w:ascii="Times New Roman" w:hAnsi="Times New Roman" w:cs="Times New Roman"/>
          <w:sz w:val="24"/>
          <w:szCs w:val="24"/>
        </w:rPr>
        <w:t xml:space="preserve"> </w:t>
      </w:r>
      <w:r w:rsidR="006B5F9A">
        <w:rPr>
          <w:rFonts w:ascii="Times New Roman" w:hAnsi="Times New Roman" w:cs="Times New Roman"/>
          <w:sz w:val="24"/>
          <w:szCs w:val="24"/>
        </w:rPr>
        <w:t>negotiation</w:t>
      </w:r>
      <w:r w:rsidR="00FA1495">
        <w:rPr>
          <w:rFonts w:ascii="Times New Roman" w:hAnsi="Times New Roman" w:cs="Times New Roman"/>
          <w:sz w:val="24"/>
          <w:szCs w:val="24"/>
        </w:rPr>
        <w:t>s</w:t>
      </w:r>
      <w:r w:rsidR="006B5F9A">
        <w:rPr>
          <w:rFonts w:ascii="Times New Roman" w:hAnsi="Times New Roman" w:cs="Times New Roman"/>
          <w:sz w:val="24"/>
          <w:szCs w:val="24"/>
        </w:rPr>
        <w:t xml:space="preserve"> </w:t>
      </w:r>
      <w:r w:rsidR="00DC04FA">
        <w:rPr>
          <w:rFonts w:ascii="Times New Roman" w:hAnsi="Times New Roman" w:cs="Times New Roman"/>
          <w:sz w:val="24"/>
          <w:szCs w:val="24"/>
        </w:rPr>
        <w:t>are likely to</w:t>
      </w:r>
      <w:r w:rsidR="00BF2194">
        <w:rPr>
          <w:rFonts w:ascii="Times New Roman" w:hAnsi="Times New Roman" w:cs="Times New Roman"/>
          <w:sz w:val="24"/>
          <w:szCs w:val="24"/>
        </w:rPr>
        <w:t xml:space="preserve"> be preferable</w:t>
      </w:r>
      <w:r w:rsidR="009D4553" w:rsidRPr="0042152F">
        <w:rPr>
          <w:rFonts w:ascii="Times New Roman" w:hAnsi="Times New Roman" w:cs="Times New Roman"/>
          <w:sz w:val="24"/>
          <w:szCs w:val="24"/>
        </w:rPr>
        <w:t xml:space="preserve"> </w:t>
      </w:r>
      <w:r w:rsidR="00DC23FB">
        <w:rPr>
          <w:rFonts w:ascii="Times New Roman" w:hAnsi="Times New Roman" w:cs="Times New Roman"/>
          <w:sz w:val="24"/>
          <w:szCs w:val="24"/>
        </w:rPr>
        <w:t xml:space="preserve">in </w:t>
      </w:r>
      <w:r w:rsidR="00DC04FA">
        <w:rPr>
          <w:rFonts w:ascii="Times New Roman" w:hAnsi="Times New Roman" w:cs="Times New Roman"/>
          <w:sz w:val="24"/>
          <w:szCs w:val="24"/>
        </w:rPr>
        <w:t xml:space="preserve">situations </w:t>
      </w:r>
      <w:r w:rsidR="009D4553" w:rsidRPr="0042152F">
        <w:rPr>
          <w:rFonts w:ascii="Times New Roman" w:hAnsi="Times New Roman" w:cs="Times New Roman"/>
          <w:sz w:val="24"/>
          <w:szCs w:val="24"/>
        </w:rPr>
        <w:t xml:space="preserve">where the parties treat the ongoing relationship as an important and valuable element </w:t>
      </w:r>
      <w:r w:rsidR="00DC04FA">
        <w:rPr>
          <w:rFonts w:ascii="Times New Roman" w:hAnsi="Times New Roman" w:cs="Times New Roman"/>
          <w:sz w:val="24"/>
          <w:szCs w:val="24"/>
        </w:rPr>
        <w:t>of the deal</w:t>
      </w:r>
      <w:r w:rsidR="009D4553" w:rsidRPr="0042152F">
        <w:rPr>
          <w:rFonts w:ascii="Times New Roman" w:hAnsi="Times New Roman" w:cs="Times New Roman"/>
          <w:sz w:val="24"/>
          <w:szCs w:val="24"/>
        </w:rPr>
        <w:t xml:space="preserve"> while seeking an equitable and fair agreement.</w:t>
      </w:r>
      <w:r w:rsidR="00890933" w:rsidRPr="0042152F">
        <w:rPr>
          <w:rStyle w:val="FootnoteReference"/>
          <w:rFonts w:ascii="Times New Roman" w:hAnsi="Times New Roman" w:cs="Times New Roman"/>
          <w:sz w:val="24"/>
          <w:szCs w:val="24"/>
        </w:rPr>
        <w:footnoteReference w:id="204"/>
      </w:r>
      <w:r w:rsidR="00FA1495" w:rsidRPr="0042152F">
        <w:rPr>
          <w:rFonts w:ascii="Times New Roman" w:hAnsi="Times New Roman" w:cs="Times New Roman"/>
          <w:sz w:val="24"/>
          <w:szCs w:val="24"/>
        </w:rPr>
        <w:t xml:space="preserve"> </w:t>
      </w:r>
      <w:r w:rsidR="00176B8E">
        <w:rPr>
          <w:rFonts w:ascii="Times New Roman" w:hAnsi="Times New Roman" w:cs="Times New Roman"/>
          <w:sz w:val="24"/>
          <w:szCs w:val="24"/>
        </w:rPr>
        <w:lastRenderedPageBreak/>
        <w:t>I</w:t>
      </w:r>
      <w:r w:rsidR="00176B8E" w:rsidRPr="0042152F">
        <w:rPr>
          <w:rFonts w:ascii="Times New Roman" w:hAnsi="Times New Roman" w:cs="Times New Roman"/>
          <w:sz w:val="24"/>
          <w:szCs w:val="24"/>
        </w:rPr>
        <w:t xml:space="preserve">ndeed, keeping Musk content at Tesla and energized about leading the company was chief goal of the compensation arrangement. It would be strange to design a compensation package </w:t>
      </w:r>
      <w:r w:rsidR="000E1BF2">
        <w:rPr>
          <w:rFonts w:ascii="Times New Roman" w:hAnsi="Times New Roman" w:cs="Times New Roman"/>
          <w:sz w:val="24"/>
          <w:szCs w:val="24"/>
        </w:rPr>
        <w:t>with the aim</w:t>
      </w:r>
      <w:r w:rsidR="00176B8E" w:rsidRPr="0042152F">
        <w:rPr>
          <w:rFonts w:ascii="Times New Roman" w:hAnsi="Times New Roman" w:cs="Times New Roman"/>
          <w:sz w:val="24"/>
          <w:szCs w:val="24"/>
        </w:rPr>
        <w:t xml:space="preserve"> </w:t>
      </w:r>
      <w:r w:rsidR="00EB6167" w:rsidRPr="0042152F">
        <w:rPr>
          <w:rFonts w:ascii="Times New Roman" w:hAnsi="Times New Roman" w:cs="Times New Roman"/>
          <w:sz w:val="24"/>
          <w:szCs w:val="24"/>
        </w:rPr>
        <w:t>of preserving</w:t>
      </w:r>
      <w:r w:rsidR="00176B8E" w:rsidRPr="0042152F">
        <w:rPr>
          <w:rFonts w:ascii="Times New Roman" w:hAnsi="Times New Roman" w:cs="Times New Roman"/>
          <w:sz w:val="24"/>
          <w:szCs w:val="24"/>
        </w:rPr>
        <w:t xml:space="preserve"> and </w:t>
      </w:r>
      <w:r w:rsidR="0027253E">
        <w:rPr>
          <w:rFonts w:ascii="Times New Roman" w:hAnsi="Times New Roman" w:cs="Times New Roman"/>
          <w:sz w:val="24"/>
          <w:szCs w:val="24"/>
        </w:rPr>
        <w:t>strengthening</w:t>
      </w:r>
      <w:r w:rsidR="0027253E" w:rsidRPr="0042152F">
        <w:rPr>
          <w:rFonts w:ascii="Times New Roman" w:hAnsi="Times New Roman" w:cs="Times New Roman"/>
          <w:sz w:val="24"/>
          <w:szCs w:val="24"/>
        </w:rPr>
        <w:t xml:space="preserve"> </w:t>
      </w:r>
      <w:r w:rsidR="00176B8E" w:rsidRPr="0042152F">
        <w:rPr>
          <w:rFonts w:ascii="Times New Roman" w:hAnsi="Times New Roman" w:cs="Times New Roman"/>
          <w:sz w:val="24"/>
          <w:szCs w:val="24"/>
        </w:rPr>
        <w:t xml:space="preserve">a relationship, only to undermine it </w:t>
      </w:r>
      <w:r w:rsidR="00176B8E">
        <w:rPr>
          <w:rFonts w:ascii="Times New Roman" w:hAnsi="Times New Roman" w:cs="Times New Roman"/>
          <w:sz w:val="24"/>
          <w:szCs w:val="24"/>
        </w:rPr>
        <w:t xml:space="preserve">with an adversarial </w:t>
      </w:r>
      <w:r w:rsidR="00176B8E" w:rsidRPr="0042152F">
        <w:rPr>
          <w:rFonts w:ascii="Times New Roman" w:hAnsi="Times New Roman" w:cs="Times New Roman"/>
          <w:sz w:val="24"/>
          <w:szCs w:val="24"/>
        </w:rPr>
        <w:t xml:space="preserve">negotiation process. </w:t>
      </w:r>
      <w:r w:rsidR="00176B8E" w:rsidRPr="0042152F">
        <w:rPr>
          <w:rFonts w:ascii="Times New Roman" w:eastAsia="NewBaskervilleITCPro-Roman" w:hAnsi="Times New Roman" w:cs="Times New Roman"/>
          <w:kern w:val="0"/>
          <w:sz w:val="24"/>
          <w:szCs w:val="24"/>
        </w:rPr>
        <w:t>Ultimately, the committee must navigate the process in a way that avoids bargaining failure and preserves the relationship with the entrepreneur, ensuring a viable path forward for the ambitious vision.</w:t>
      </w:r>
    </w:p>
    <w:p w14:paraId="13574168" w14:textId="0AE036D0" w:rsidR="00357C6F" w:rsidRPr="0042152F" w:rsidRDefault="008F3366"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When viewed from this lens,</w:t>
      </w:r>
      <w:r w:rsidR="00B07BCA">
        <w:rPr>
          <w:rFonts w:ascii="Times New Roman" w:hAnsi="Times New Roman" w:cs="Times New Roman"/>
          <w:sz w:val="24"/>
          <w:szCs w:val="24"/>
        </w:rPr>
        <w:t xml:space="preserve"> </w:t>
      </w:r>
      <w:r w:rsidRPr="0042152F">
        <w:rPr>
          <w:rFonts w:ascii="Times New Roman" w:hAnsi="Times New Roman" w:cs="Times New Roman"/>
          <w:sz w:val="24"/>
          <w:szCs w:val="24"/>
        </w:rPr>
        <w:t xml:space="preserve">the negotiations between Musk and the committee look different. </w:t>
      </w:r>
      <w:r w:rsidR="00DC04FA">
        <w:rPr>
          <w:rFonts w:ascii="Times New Roman" w:hAnsi="Times New Roman" w:cs="Times New Roman"/>
          <w:sz w:val="24"/>
          <w:szCs w:val="24"/>
        </w:rPr>
        <w:t>Indeed, c</w:t>
      </w:r>
      <w:r w:rsidR="00DC04FA" w:rsidRPr="0042152F">
        <w:rPr>
          <w:rFonts w:ascii="Times New Roman" w:hAnsi="Times New Roman" w:cs="Times New Roman"/>
          <w:sz w:val="24"/>
          <w:szCs w:val="24"/>
        </w:rPr>
        <w:t xml:space="preserve">ertain </w:t>
      </w:r>
      <w:r w:rsidRPr="0042152F">
        <w:rPr>
          <w:rFonts w:ascii="Times New Roman" w:hAnsi="Times New Roman" w:cs="Times New Roman"/>
          <w:sz w:val="24"/>
          <w:szCs w:val="24"/>
        </w:rPr>
        <w:t xml:space="preserve">facts suggest that the committee </w:t>
      </w:r>
      <w:r w:rsidRPr="0042152F">
        <w:rPr>
          <w:rFonts w:ascii="Times New Roman" w:hAnsi="Times New Roman" w:cs="Times New Roman"/>
          <w:i/>
          <w:iCs/>
          <w:sz w:val="24"/>
          <w:szCs w:val="24"/>
        </w:rPr>
        <w:t xml:space="preserve">did </w:t>
      </w:r>
      <w:r w:rsidRPr="0042152F">
        <w:rPr>
          <w:rFonts w:ascii="Times New Roman" w:hAnsi="Times New Roman" w:cs="Times New Roman"/>
          <w:sz w:val="24"/>
          <w:szCs w:val="24"/>
        </w:rPr>
        <w:t>push back against Musk’s initial ask in a way that preserved the relationship.</w:t>
      </w:r>
      <w:r w:rsidR="009D4553" w:rsidRPr="0042152F">
        <w:rPr>
          <w:rFonts w:ascii="Times New Roman" w:hAnsi="Times New Roman" w:cs="Times New Roman"/>
          <w:sz w:val="24"/>
          <w:szCs w:val="24"/>
        </w:rPr>
        <w:t xml:space="preserve"> Musk </w:t>
      </w:r>
      <w:r w:rsidR="00D16F1F">
        <w:rPr>
          <w:rFonts w:ascii="Times New Roman" w:hAnsi="Times New Roman" w:cs="Times New Roman"/>
          <w:sz w:val="24"/>
          <w:szCs w:val="24"/>
        </w:rPr>
        <w:t>began by requesting</w:t>
      </w:r>
      <w:r w:rsidR="009D4553" w:rsidRPr="0042152F">
        <w:rPr>
          <w:rFonts w:ascii="Times New Roman" w:hAnsi="Times New Roman" w:cs="Times New Roman"/>
          <w:sz w:val="24"/>
          <w:szCs w:val="24"/>
        </w:rPr>
        <w:t xml:space="preserve"> </w:t>
      </w:r>
      <w:r w:rsidR="00F147CD" w:rsidRPr="0042152F">
        <w:rPr>
          <w:rFonts w:ascii="Times New Roman" w:hAnsi="Times New Roman" w:cs="Times New Roman"/>
          <w:sz w:val="24"/>
          <w:szCs w:val="24"/>
        </w:rPr>
        <w:t>a ten-tranche structure</w:t>
      </w:r>
      <w:r w:rsidR="009D4553"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in exchange </w:t>
      </w:r>
      <w:r w:rsidR="009D4553" w:rsidRPr="0042152F">
        <w:rPr>
          <w:rFonts w:ascii="Times New Roman" w:hAnsi="Times New Roman" w:cs="Times New Roman"/>
          <w:sz w:val="24"/>
          <w:szCs w:val="24"/>
        </w:rPr>
        <w:t>for $500 billion</w:t>
      </w:r>
      <w:r w:rsidRPr="0042152F">
        <w:rPr>
          <w:rFonts w:ascii="Times New Roman" w:hAnsi="Times New Roman" w:cs="Times New Roman"/>
          <w:sz w:val="24"/>
          <w:szCs w:val="24"/>
        </w:rPr>
        <w:t xml:space="preserve"> in</w:t>
      </w:r>
      <w:r w:rsidR="009D4553" w:rsidRPr="0042152F">
        <w:rPr>
          <w:rFonts w:ascii="Times New Roman" w:hAnsi="Times New Roman" w:cs="Times New Roman"/>
          <w:sz w:val="24"/>
          <w:szCs w:val="24"/>
        </w:rPr>
        <w:t xml:space="preserve"> total milestones, </w:t>
      </w:r>
      <w:r w:rsidR="00F83AD3">
        <w:rPr>
          <w:rFonts w:ascii="Times New Roman" w:hAnsi="Times New Roman" w:cs="Times New Roman"/>
          <w:sz w:val="24"/>
          <w:szCs w:val="24"/>
        </w:rPr>
        <w:t xml:space="preserve">and </w:t>
      </w:r>
      <w:r w:rsidR="009D4553" w:rsidRPr="0042152F">
        <w:rPr>
          <w:rFonts w:ascii="Times New Roman" w:hAnsi="Times New Roman" w:cs="Times New Roman"/>
          <w:sz w:val="24"/>
          <w:szCs w:val="24"/>
        </w:rPr>
        <w:t xml:space="preserve">the board </w:t>
      </w:r>
      <w:r w:rsidRPr="0042152F">
        <w:rPr>
          <w:rFonts w:ascii="Times New Roman" w:hAnsi="Times New Roman" w:cs="Times New Roman"/>
          <w:sz w:val="24"/>
          <w:szCs w:val="24"/>
        </w:rPr>
        <w:t xml:space="preserve">countered </w:t>
      </w:r>
      <w:r w:rsidR="00F147CD" w:rsidRPr="0042152F">
        <w:rPr>
          <w:rFonts w:ascii="Times New Roman" w:hAnsi="Times New Roman" w:cs="Times New Roman"/>
          <w:sz w:val="24"/>
          <w:szCs w:val="24"/>
        </w:rPr>
        <w:t>with a twelve-tranche structure in exchange for $600 billion</w:t>
      </w:r>
      <w:r w:rsidR="009D4553" w:rsidRPr="0042152F">
        <w:rPr>
          <w:rFonts w:ascii="Times New Roman" w:hAnsi="Times New Roman" w:cs="Times New Roman"/>
          <w:sz w:val="24"/>
          <w:szCs w:val="24"/>
        </w:rPr>
        <w:t>.</w:t>
      </w:r>
      <w:r w:rsidR="0017797C" w:rsidRPr="0042152F">
        <w:rPr>
          <w:rStyle w:val="FootnoteReference"/>
          <w:rFonts w:ascii="Times New Roman" w:hAnsi="Times New Roman" w:cs="Times New Roman"/>
          <w:sz w:val="24"/>
          <w:szCs w:val="24"/>
        </w:rPr>
        <w:footnoteReference w:id="205"/>
      </w:r>
      <w:r w:rsidR="009D4553" w:rsidRPr="0042152F">
        <w:rPr>
          <w:rFonts w:ascii="Times New Roman" w:hAnsi="Times New Roman" w:cs="Times New Roman"/>
          <w:sz w:val="24"/>
          <w:szCs w:val="24"/>
        </w:rPr>
        <w:t xml:space="preserve"> </w:t>
      </w:r>
      <w:r w:rsidR="00143D93">
        <w:rPr>
          <w:rFonts w:ascii="Times New Roman" w:hAnsi="Times New Roman" w:cs="Times New Roman"/>
          <w:sz w:val="24"/>
          <w:szCs w:val="24"/>
        </w:rPr>
        <w:t>While t</w:t>
      </w:r>
      <w:r w:rsidR="009D4553" w:rsidRPr="0042152F">
        <w:rPr>
          <w:rFonts w:ascii="Times New Roman" w:hAnsi="Times New Roman" w:cs="Times New Roman"/>
          <w:sz w:val="24"/>
          <w:szCs w:val="24"/>
        </w:rPr>
        <w:t>he court viewed this change as the board’s preference for a grant that was easier to calculate</w:t>
      </w:r>
      <w:r w:rsidR="00143D93">
        <w:rPr>
          <w:rFonts w:ascii="Times New Roman" w:hAnsi="Times New Roman" w:cs="Times New Roman"/>
          <w:sz w:val="24"/>
          <w:szCs w:val="24"/>
        </w:rPr>
        <w:t>,</w:t>
      </w:r>
      <w:r w:rsidR="009D4553" w:rsidRPr="0042152F">
        <w:rPr>
          <w:rStyle w:val="FootnoteReference"/>
          <w:rFonts w:ascii="Times New Roman" w:hAnsi="Times New Roman" w:cs="Times New Roman"/>
          <w:sz w:val="24"/>
          <w:szCs w:val="24"/>
        </w:rPr>
        <w:footnoteReference w:id="206"/>
      </w:r>
      <w:r w:rsidR="009D4553" w:rsidRPr="0042152F">
        <w:rPr>
          <w:rFonts w:ascii="Times New Roman" w:hAnsi="Times New Roman" w:cs="Times New Roman"/>
          <w:sz w:val="24"/>
          <w:szCs w:val="24"/>
        </w:rPr>
        <w:t xml:space="preserve"> </w:t>
      </w:r>
      <w:r w:rsidR="00143D93">
        <w:rPr>
          <w:rFonts w:ascii="Times New Roman" w:hAnsi="Times New Roman" w:cs="Times New Roman"/>
          <w:sz w:val="24"/>
          <w:szCs w:val="24"/>
        </w:rPr>
        <w:t xml:space="preserve">the counteroffer </w:t>
      </w:r>
      <w:r w:rsidR="009D4553" w:rsidRPr="0042152F">
        <w:rPr>
          <w:rFonts w:ascii="Times New Roman" w:hAnsi="Times New Roman" w:cs="Times New Roman"/>
          <w:sz w:val="24"/>
          <w:szCs w:val="24"/>
        </w:rPr>
        <w:t xml:space="preserve">meant that for the same number of shares, Musk now needed to deliver </w:t>
      </w:r>
      <w:r w:rsidR="00F147CD" w:rsidRPr="0042152F">
        <w:rPr>
          <w:rFonts w:ascii="Times New Roman" w:hAnsi="Times New Roman" w:cs="Times New Roman"/>
          <w:sz w:val="24"/>
          <w:szCs w:val="24"/>
        </w:rPr>
        <w:t>an additional $100 billion in value</w:t>
      </w:r>
      <w:r w:rsidR="009D4553" w:rsidRPr="0042152F">
        <w:rPr>
          <w:rFonts w:ascii="Times New Roman" w:hAnsi="Times New Roman" w:cs="Times New Roman"/>
          <w:sz w:val="24"/>
          <w:szCs w:val="24"/>
        </w:rPr>
        <w:t>.</w:t>
      </w:r>
      <w:r w:rsidR="00890933" w:rsidRPr="0042152F">
        <w:rPr>
          <w:rStyle w:val="FootnoteReference"/>
          <w:rFonts w:ascii="Times New Roman" w:hAnsi="Times New Roman" w:cs="Times New Roman"/>
          <w:sz w:val="24"/>
          <w:szCs w:val="24"/>
        </w:rPr>
        <w:footnoteReference w:id="207"/>
      </w:r>
      <w:r w:rsidR="009D4553" w:rsidRPr="0042152F">
        <w:rPr>
          <w:rFonts w:ascii="Times New Roman" w:hAnsi="Times New Roman" w:cs="Times New Roman"/>
          <w:sz w:val="24"/>
          <w:szCs w:val="24"/>
        </w:rPr>
        <w:t xml:space="preserve"> </w:t>
      </w:r>
      <w:r w:rsidR="00890933" w:rsidRPr="0042152F">
        <w:rPr>
          <w:rFonts w:ascii="Times New Roman" w:hAnsi="Times New Roman" w:cs="Times New Roman"/>
          <w:sz w:val="24"/>
          <w:szCs w:val="24"/>
        </w:rPr>
        <w:t xml:space="preserve"> Musk, a seasoned entrepreneur, would</w:t>
      </w:r>
      <w:r w:rsidR="00537617" w:rsidRPr="0042152F">
        <w:rPr>
          <w:rFonts w:ascii="Times New Roman" w:hAnsi="Times New Roman" w:cs="Times New Roman"/>
          <w:sz w:val="24"/>
          <w:szCs w:val="24"/>
        </w:rPr>
        <w:t xml:space="preserve"> </w:t>
      </w:r>
      <w:r w:rsidR="00890933" w:rsidRPr="0042152F">
        <w:rPr>
          <w:rFonts w:ascii="Times New Roman" w:hAnsi="Times New Roman" w:cs="Times New Roman"/>
          <w:sz w:val="24"/>
          <w:szCs w:val="24"/>
        </w:rPr>
        <w:t xml:space="preserve">have </w:t>
      </w:r>
      <w:r w:rsidR="009D4553" w:rsidRPr="0042152F">
        <w:rPr>
          <w:rFonts w:ascii="Times New Roman" w:hAnsi="Times New Roman" w:cs="Times New Roman"/>
          <w:sz w:val="24"/>
          <w:szCs w:val="24"/>
        </w:rPr>
        <w:t xml:space="preserve">understood that this “technical” change </w:t>
      </w:r>
      <w:r w:rsidR="00537617" w:rsidRPr="0042152F">
        <w:rPr>
          <w:rFonts w:ascii="Times New Roman" w:hAnsi="Times New Roman" w:cs="Times New Roman"/>
          <w:sz w:val="24"/>
          <w:szCs w:val="24"/>
        </w:rPr>
        <w:t>“</w:t>
      </w:r>
      <w:r w:rsidR="009D4553" w:rsidRPr="0042152F">
        <w:rPr>
          <w:rFonts w:ascii="Times New Roman" w:hAnsi="Times New Roman" w:cs="Times New Roman"/>
          <w:sz w:val="24"/>
          <w:szCs w:val="24"/>
        </w:rPr>
        <w:t>for ease of computation</w:t>
      </w:r>
      <w:r w:rsidR="00537617" w:rsidRPr="0042152F">
        <w:rPr>
          <w:rFonts w:ascii="Times New Roman" w:hAnsi="Times New Roman" w:cs="Times New Roman"/>
          <w:sz w:val="24"/>
          <w:szCs w:val="24"/>
        </w:rPr>
        <w:t>”</w:t>
      </w:r>
      <w:r w:rsidR="009D4553" w:rsidRPr="0042152F">
        <w:rPr>
          <w:rFonts w:ascii="Times New Roman" w:hAnsi="Times New Roman" w:cs="Times New Roman"/>
          <w:sz w:val="24"/>
          <w:szCs w:val="24"/>
        </w:rPr>
        <w:t xml:space="preserve"> would require him to </w:t>
      </w:r>
      <w:r w:rsidR="00F147CD" w:rsidRPr="0042152F">
        <w:rPr>
          <w:rFonts w:ascii="Times New Roman" w:hAnsi="Times New Roman" w:cs="Times New Roman"/>
          <w:sz w:val="24"/>
          <w:szCs w:val="24"/>
        </w:rPr>
        <w:t>do far more</w:t>
      </w:r>
      <w:r w:rsidR="00F83AD3">
        <w:rPr>
          <w:rFonts w:ascii="Times New Roman" w:hAnsi="Times New Roman" w:cs="Times New Roman"/>
          <w:sz w:val="24"/>
          <w:szCs w:val="24"/>
        </w:rPr>
        <w:t>,</w:t>
      </w:r>
      <w:r w:rsidR="00357C6F" w:rsidRPr="0042152F">
        <w:rPr>
          <w:rStyle w:val="FootnoteReference"/>
          <w:rFonts w:ascii="Times New Roman" w:hAnsi="Times New Roman" w:cs="Times New Roman"/>
          <w:sz w:val="24"/>
          <w:szCs w:val="24"/>
        </w:rPr>
        <w:footnoteReference w:id="208"/>
      </w:r>
      <w:r w:rsidR="00537617" w:rsidRPr="0042152F">
        <w:rPr>
          <w:rFonts w:ascii="Times New Roman" w:hAnsi="Times New Roman" w:cs="Times New Roman"/>
          <w:sz w:val="24"/>
          <w:szCs w:val="24"/>
        </w:rPr>
        <w:t xml:space="preserve"> </w:t>
      </w:r>
      <w:r w:rsidR="00F83AD3">
        <w:rPr>
          <w:rFonts w:ascii="Times New Roman" w:hAnsi="Times New Roman" w:cs="Times New Roman"/>
          <w:sz w:val="24"/>
          <w:szCs w:val="24"/>
        </w:rPr>
        <w:t>b</w:t>
      </w:r>
      <w:r w:rsidR="009D4553" w:rsidRPr="0042152F">
        <w:rPr>
          <w:rFonts w:ascii="Times New Roman" w:hAnsi="Times New Roman" w:cs="Times New Roman"/>
          <w:sz w:val="24"/>
          <w:szCs w:val="24"/>
        </w:rPr>
        <w:t xml:space="preserve">ut he </w:t>
      </w:r>
      <w:r w:rsidR="008E034E">
        <w:rPr>
          <w:rFonts w:ascii="Times New Roman" w:hAnsi="Times New Roman" w:cs="Times New Roman"/>
          <w:sz w:val="24"/>
          <w:szCs w:val="24"/>
        </w:rPr>
        <w:t xml:space="preserve">said nothing and </w:t>
      </w:r>
      <w:r w:rsidR="009D4553" w:rsidRPr="0042152F">
        <w:rPr>
          <w:rFonts w:ascii="Times New Roman" w:hAnsi="Times New Roman" w:cs="Times New Roman"/>
          <w:sz w:val="24"/>
          <w:szCs w:val="24"/>
        </w:rPr>
        <w:t xml:space="preserve">accepted the request. This is </w:t>
      </w:r>
      <w:r w:rsidR="00537617" w:rsidRPr="0042152F">
        <w:rPr>
          <w:rFonts w:ascii="Times New Roman" w:hAnsi="Times New Roman" w:cs="Times New Roman"/>
          <w:sz w:val="24"/>
          <w:szCs w:val="24"/>
        </w:rPr>
        <w:t>a tell-tale</w:t>
      </w:r>
      <w:r w:rsidR="00FC04DF">
        <w:rPr>
          <w:rFonts w:ascii="Times New Roman" w:hAnsi="Times New Roman" w:cs="Times New Roman"/>
          <w:sz w:val="24"/>
          <w:szCs w:val="24"/>
        </w:rPr>
        <w:t xml:space="preserve"> sign</w:t>
      </w:r>
      <w:r w:rsidR="00537617" w:rsidRPr="0042152F">
        <w:rPr>
          <w:rFonts w:ascii="Times New Roman" w:hAnsi="Times New Roman" w:cs="Times New Roman"/>
          <w:sz w:val="24"/>
          <w:szCs w:val="24"/>
        </w:rPr>
        <w:t xml:space="preserve"> </w:t>
      </w:r>
      <w:r w:rsidR="009D4553" w:rsidRPr="0042152F">
        <w:rPr>
          <w:rFonts w:ascii="Times New Roman" w:hAnsi="Times New Roman" w:cs="Times New Roman"/>
          <w:sz w:val="24"/>
          <w:szCs w:val="24"/>
        </w:rPr>
        <w:t>of a collaborative negotiation</w:t>
      </w:r>
      <w:r w:rsidR="00890933" w:rsidRPr="0042152F">
        <w:rPr>
          <w:rFonts w:ascii="Times New Roman" w:hAnsi="Times New Roman" w:cs="Times New Roman"/>
          <w:sz w:val="24"/>
          <w:szCs w:val="24"/>
        </w:rPr>
        <w:t>, in which parties work together to arrive at a mutually advantageous outcome</w:t>
      </w:r>
      <w:r w:rsidR="00916A81" w:rsidRPr="0042152F">
        <w:rPr>
          <w:rFonts w:ascii="Times New Roman" w:hAnsi="Times New Roman" w:cs="Times New Roman"/>
          <w:sz w:val="24"/>
          <w:szCs w:val="24"/>
        </w:rPr>
        <w:t xml:space="preserve"> without hostility</w:t>
      </w:r>
      <w:r w:rsidR="009D4553" w:rsidRPr="0042152F">
        <w:rPr>
          <w:rFonts w:ascii="Times New Roman" w:hAnsi="Times New Roman" w:cs="Times New Roman"/>
          <w:sz w:val="24"/>
          <w:szCs w:val="24"/>
        </w:rPr>
        <w:t>.</w:t>
      </w:r>
      <w:r w:rsidR="0061702D" w:rsidRPr="0042152F">
        <w:rPr>
          <w:rStyle w:val="FootnoteReference"/>
          <w:rFonts w:ascii="Times New Roman" w:hAnsi="Times New Roman" w:cs="Times New Roman"/>
          <w:sz w:val="24"/>
          <w:szCs w:val="24"/>
        </w:rPr>
        <w:footnoteReference w:id="209"/>
      </w:r>
      <w:r w:rsidR="009D4553" w:rsidRPr="0042152F">
        <w:rPr>
          <w:rFonts w:ascii="Times New Roman" w:hAnsi="Times New Roman" w:cs="Times New Roman"/>
          <w:sz w:val="24"/>
          <w:szCs w:val="24"/>
        </w:rPr>
        <w:t xml:space="preserve"> </w:t>
      </w:r>
    </w:p>
    <w:p w14:paraId="4F5C7CA7" w14:textId="66DF51DD" w:rsidR="00325082" w:rsidRPr="0042152F" w:rsidRDefault="00A92A0A"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890933" w:rsidRPr="0042152F">
        <w:rPr>
          <w:rFonts w:ascii="Times New Roman" w:hAnsi="Times New Roman" w:cs="Times New Roman"/>
          <w:sz w:val="24"/>
          <w:szCs w:val="24"/>
        </w:rPr>
        <w:t>he</w:t>
      </w:r>
      <w:r w:rsidR="00A93808">
        <w:rPr>
          <w:rFonts w:ascii="Times New Roman" w:hAnsi="Times New Roman" w:cs="Times New Roman"/>
          <w:sz w:val="24"/>
          <w:szCs w:val="24"/>
        </w:rPr>
        <w:t>refore, the</w:t>
      </w:r>
      <w:r w:rsidR="00890933" w:rsidRPr="0042152F">
        <w:rPr>
          <w:rFonts w:ascii="Times New Roman" w:hAnsi="Times New Roman" w:cs="Times New Roman"/>
          <w:sz w:val="24"/>
          <w:szCs w:val="24"/>
        </w:rPr>
        <w:t xml:space="preserve"> inability to value Musk’s vision </w:t>
      </w:r>
      <w:r w:rsidR="00582322" w:rsidRPr="0042152F">
        <w:rPr>
          <w:rFonts w:ascii="Times New Roman" w:hAnsi="Times New Roman" w:cs="Times New Roman"/>
          <w:sz w:val="24"/>
          <w:szCs w:val="24"/>
        </w:rPr>
        <w:t xml:space="preserve">led </w:t>
      </w:r>
      <w:r w:rsidR="00890933" w:rsidRPr="0042152F">
        <w:rPr>
          <w:rFonts w:ascii="Times New Roman" w:hAnsi="Times New Roman" w:cs="Times New Roman"/>
          <w:sz w:val="24"/>
          <w:szCs w:val="24"/>
        </w:rPr>
        <w:t xml:space="preserve">the court to </w:t>
      </w:r>
      <w:r w:rsidR="00A93808">
        <w:rPr>
          <w:rFonts w:ascii="Times New Roman" w:hAnsi="Times New Roman" w:cs="Times New Roman"/>
          <w:sz w:val="24"/>
          <w:szCs w:val="24"/>
        </w:rPr>
        <w:t>scrutinize</w:t>
      </w:r>
      <w:r w:rsidR="00890933" w:rsidRPr="0042152F">
        <w:rPr>
          <w:rFonts w:ascii="Times New Roman" w:hAnsi="Times New Roman" w:cs="Times New Roman"/>
          <w:sz w:val="24"/>
          <w:szCs w:val="24"/>
        </w:rPr>
        <w:t xml:space="preserve"> the bargaining process for adversity. </w:t>
      </w:r>
      <w:r w:rsidR="00A93808">
        <w:rPr>
          <w:rFonts w:ascii="Times New Roman" w:hAnsi="Times New Roman" w:cs="Times New Roman"/>
          <w:sz w:val="24"/>
          <w:szCs w:val="24"/>
        </w:rPr>
        <w:t>And</w:t>
      </w:r>
      <w:r w:rsidR="00916FB1" w:rsidRPr="0042152F">
        <w:rPr>
          <w:rFonts w:ascii="Times New Roman" w:hAnsi="Times New Roman" w:cs="Times New Roman"/>
          <w:sz w:val="24"/>
          <w:szCs w:val="24"/>
        </w:rPr>
        <w:t xml:space="preserve"> </w:t>
      </w:r>
      <w:r w:rsidR="009D4553" w:rsidRPr="0042152F">
        <w:rPr>
          <w:rFonts w:ascii="Times New Roman" w:hAnsi="Times New Roman" w:cs="Times New Roman"/>
          <w:sz w:val="24"/>
          <w:szCs w:val="24"/>
        </w:rPr>
        <w:t xml:space="preserve">two unintended consequences stem from this ruling: negotiators may be swayed to engage in adversarial negotiations when a different approach would be preferable, </w:t>
      </w:r>
      <w:r w:rsidR="009D4553" w:rsidRPr="0042152F">
        <w:rPr>
          <w:rFonts w:ascii="Times New Roman" w:hAnsi="Times New Roman" w:cs="Times New Roman"/>
          <w:sz w:val="24"/>
          <w:szCs w:val="24"/>
        </w:rPr>
        <w:lastRenderedPageBreak/>
        <w:t>or they may engage in cosmetic compliance, pretending to play hardball to avoid a finding of unfairness.</w:t>
      </w:r>
      <w:r w:rsidR="009D4553" w:rsidRPr="0042152F">
        <w:rPr>
          <w:rStyle w:val="FootnoteReference"/>
          <w:rFonts w:ascii="Times New Roman" w:hAnsi="Times New Roman" w:cs="Times New Roman"/>
          <w:sz w:val="24"/>
          <w:szCs w:val="24"/>
        </w:rPr>
        <w:footnoteReference w:id="210"/>
      </w:r>
    </w:p>
    <w:p w14:paraId="3F76CDB9" w14:textId="4DCEF303" w:rsidR="0037156F" w:rsidRPr="0042152F" w:rsidRDefault="0037156F" w:rsidP="002E3243">
      <w:pPr>
        <w:spacing w:after="12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In sum, although the court </w:t>
      </w:r>
      <w:r w:rsidR="007F6FC0" w:rsidRPr="0042152F">
        <w:rPr>
          <w:rFonts w:ascii="Times New Roman" w:hAnsi="Times New Roman" w:cs="Times New Roman"/>
          <w:sz w:val="24"/>
          <w:szCs w:val="24"/>
        </w:rPr>
        <w:t xml:space="preserve">attempted to </w:t>
      </w:r>
      <w:r w:rsidRPr="0042152F">
        <w:rPr>
          <w:rFonts w:ascii="Times New Roman" w:hAnsi="Times New Roman" w:cs="Times New Roman"/>
          <w:sz w:val="24"/>
          <w:szCs w:val="24"/>
        </w:rPr>
        <w:t xml:space="preserve">avoid the valuation </w:t>
      </w:r>
      <w:r w:rsidR="009A104A" w:rsidRPr="0042152F">
        <w:rPr>
          <w:rFonts w:ascii="Times New Roman" w:hAnsi="Times New Roman" w:cs="Times New Roman"/>
          <w:sz w:val="24"/>
          <w:szCs w:val="24"/>
        </w:rPr>
        <w:t>issue</w:t>
      </w:r>
      <w:r w:rsidRPr="0042152F">
        <w:rPr>
          <w:rFonts w:ascii="Times New Roman" w:hAnsi="Times New Roman" w:cs="Times New Roman"/>
          <w:sz w:val="24"/>
          <w:szCs w:val="24"/>
        </w:rPr>
        <w:t xml:space="preserve">, </w:t>
      </w:r>
      <w:r w:rsidR="00457CAF" w:rsidRPr="0042152F">
        <w:rPr>
          <w:rFonts w:ascii="Times New Roman" w:hAnsi="Times New Roman" w:cs="Times New Roman"/>
          <w:sz w:val="24"/>
          <w:szCs w:val="24"/>
        </w:rPr>
        <w:t xml:space="preserve">its conclusion about the </w:t>
      </w:r>
      <w:r w:rsidR="007F6FC0" w:rsidRPr="0042152F">
        <w:rPr>
          <w:rFonts w:ascii="Times New Roman" w:hAnsi="Times New Roman" w:cs="Times New Roman"/>
          <w:sz w:val="24"/>
          <w:szCs w:val="24"/>
        </w:rPr>
        <w:t>un</w:t>
      </w:r>
      <w:r w:rsidR="00457CAF" w:rsidRPr="0042152F">
        <w:rPr>
          <w:rFonts w:ascii="Times New Roman" w:hAnsi="Times New Roman" w:cs="Times New Roman"/>
          <w:sz w:val="24"/>
          <w:szCs w:val="24"/>
        </w:rPr>
        <w:t xml:space="preserve">fairness of the price </w:t>
      </w:r>
      <w:r w:rsidRPr="0042152F">
        <w:rPr>
          <w:rFonts w:ascii="Times New Roman" w:hAnsi="Times New Roman" w:cs="Times New Roman"/>
          <w:sz w:val="24"/>
          <w:szCs w:val="24"/>
        </w:rPr>
        <w:t>was colored by hindsight</w:t>
      </w:r>
      <w:r w:rsidR="00F3381A">
        <w:rPr>
          <w:rFonts w:ascii="Times New Roman" w:hAnsi="Times New Roman" w:cs="Times New Roman"/>
          <w:sz w:val="24"/>
          <w:szCs w:val="24"/>
        </w:rPr>
        <w:t xml:space="preserve"> and </w:t>
      </w:r>
      <w:r w:rsidR="004873AE">
        <w:rPr>
          <w:rFonts w:ascii="Times New Roman" w:hAnsi="Times New Roman" w:cs="Times New Roman"/>
          <w:sz w:val="24"/>
          <w:szCs w:val="24"/>
        </w:rPr>
        <w:t>comparisons to other companies</w:t>
      </w:r>
      <w:r w:rsidRPr="0042152F">
        <w:rPr>
          <w:rFonts w:ascii="Times New Roman" w:hAnsi="Times New Roman" w:cs="Times New Roman"/>
          <w:sz w:val="24"/>
          <w:szCs w:val="24"/>
        </w:rPr>
        <w:t>, as well as</w:t>
      </w:r>
      <w:r w:rsidR="00583568" w:rsidRPr="0042152F">
        <w:rPr>
          <w:rFonts w:ascii="Times New Roman" w:hAnsi="Times New Roman" w:cs="Times New Roman"/>
          <w:sz w:val="24"/>
          <w:szCs w:val="24"/>
        </w:rPr>
        <w:t xml:space="preserve"> its belief about</w:t>
      </w:r>
      <w:r w:rsidRPr="0042152F">
        <w:rPr>
          <w:rFonts w:ascii="Times New Roman" w:hAnsi="Times New Roman" w:cs="Times New Roman"/>
          <w:sz w:val="24"/>
          <w:szCs w:val="24"/>
        </w:rPr>
        <w:t xml:space="preserve"> deficiencies in the </w:t>
      </w:r>
      <w:r w:rsidR="00583568" w:rsidRPr="0042152F">
        <w:rPr>
          <w:rFonts w:ascii="Times New Roman" w:hAnsi="Times New Roman" w:cs="Times New Roman"/>
          <w:sz w:val="24"/>
          <w:szCs w:val="24"/>
        </w:rPr>
        <w:t xml:space="preserve">negotiating </w:t>
      </w:r>
      <w:r w:rsidRPr="0042152F">
        <w:rPr>
          <w:rFonts w:ascii="Times New Roman" w:hAnsi="Times New Roman" w:cs="Times New Roman"/>
          <w:sz w:val="24"/>
          <w:szCs w:val="24"/>
        </w:rPr>
        <w:t xml:space="preserve">process. In the next Part, we offer </w:t>
      </w:r>
      <w:r w:rsidR="005A2E3B">
        <w:rPr>
          <w:rFonts w:ascii="Times New Roman" w:hAnsi="Times New Roman" w:cs="Times New Roman"/>
          <w:sz w:val="24"/>
          <w:szCs w:val="24"/>
        </w:rPr>
        <w:t>guidance</w:t>
      </w:r>
      <w:r w:rsidR="005A2E3B"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for courts forced to conduct entire fairness review </w:t>
      </w:r>
      <w:r w:rsidR="00583568" w:rsidRPr="0042152F">
        <w:rPr>
          <w:rFonts w:ascii="Times New Roman" w:hAnsi="Times New Roman" w:cs="Times New Roman"/>
          <w:sz w:val="24"/>
          <w:szCs w:val="24"/>
        </w:rPr>
        <w:t>that will help courts avoid these pitfalls</w:t>
      </w:r>
      <w:r w:rsidRPr="0042152F">
        <w:rPr>
          <w:rFonts w:ascii="Times New Roman" w:hAnsi="Times New Roman" w:cs="Times New Roman"/>
          <w:sz w:val="24"/>
          <w:szCs w:val="24"/>
        </w:rPr>
        <w:t xml:space="preserve">. But first, we discuss another case that </w:t>
      </w:r>
      <w:r w:rsidR="00583568" w:rsidRPr="0042152F">
        <w:rPr>
          <w:rFonts w:ascii="Times New Roman" w:hAnsi="Times New Roman" w:cs="Times New Roman"/>
          <w:sz w:val="24"/>
          <w:szCs w:val="24"/>
        </w:rPr>
        <w:t>reveals</w:t>
      </w:r>
      <w:r w:rsidRPr="0042152F">
        <w:rPr>
          <w:rFonts w:ascii="Times New Roman" w:hAnsi="Times New Roman" w:cs="Times New Roman"/>
          <w:sz w:val="24"/>
          <w:szCs w:val="24"/>
        </w:rPr>
        <w:t xml:space="preserve"> the limitations of judicial valuation in the context of a conflicted controller </w:t>
      </w:r>
      <w:r w:rsidR="00797F99">
        <w:rPr>
          <w:rFonts w:ascii="Times New Roman" w:hAnsi="Times New Roman" w:cs="Times New Roman"/>
          <w:sz w:val="24"/>
          <w:szCs w:val="24"/>
        </w:rPr>
        <w:t>acquisition</w:t>
      </w:r>
      <w:r w:rsidRPr="0042152F">
        <w:rPr>
          <w:rFonts w:ascii="Times New Roman" w:hAnsi="Times New Roman" w:cs="Times New Roman"/>
          <w:sz w:val="24"/>
          <w:szCs w:val="24"/>
        </w:rPr>
        <w:t xml:space="preserve">, again involving Tesla and Musk.  </w:t>
      </w:r>
    </w:p>
    <w:p w14:paraId="43DBEF56" w14:textId="1A79E07A" w:rsidR="00FE78BE" w:rsidRPr="0042152F" w:rsidRDefault="00FE78BE" w:rsidP="00B54C7C">
      <w:pPr>
        <w:pStyle w:val="Heading3"/>
        <w:numPr>
          <w:ilvl w:val="0"/>
          <w:numId w:val="29"/>
        </w:numPr>
        <w:spacing w:before="0" w:after="0"/>
      </w:pPr>
      <w:bookmarkStart w:id="24" w:name="_Toc181789842"/>
      <w:r w:rsidRPr="0042152F">
        <w:t>In re Tesla Shareholders Litigation</w:t>
      </w:r>
      <w:bookmarkEnd w:id="24"/>
    </w:p>
    <w:p w14:paraId="439A540F" w14:textId="2B07DDBA" w:rsidR="007B440A" w:rsidRPr="0042152F" w:rsidRDefault="00552DDF"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i/>
          <w:iCs/>
          <w:sz w:val="24"/>
          <w:szCs w:val="24"/>
        </w:rPr>
        <w:t xml:space="preserve">In re Tesla </w:t>
      </w:r>
      <w:r w:rsidR="0037156F" w:rsidRPr="0042152F">
        <w:rPr>
          <w:rFonts w:ascii="Times New Roman" w:hAnsi="Times New Roman" w:cs="Times New Roman"/>
          <w:sz w:val="24"/>
          <w:szCs w:val="24"/>
        </w:rPr>
        <w:t xml:space="preserve">arose out of </w:t>
      </w:r>
      <w:r w:rsidR="00F64FD9" w:rsidRPr="0042152F">
        <w:rPr>
          <w:rFonts w:ascii="Times New Roman" w:hAnsi="Times New Roman" w:cs="Times New Roman"/>
          <w:sz w:val="24"/>
          <w:szCs w:val="24"/>
        </w:rPr>
        <w:t>Tesla’s acquisition of SolarCity in August 2016.</w:t>
      </w:r>
      <w:r w:rsidR="00F64FD9" w:rsidRPr="0042152F">
        <w:rPr>
          <w:rFonts w:ascii="Times New Roman" w:hAnsi="Times New Roman" w:cs="Times New Roman"/>
          <w:sz w:val="24"/>
          <w:szCs w:val="24"/>
          <w:vertAlign w:val="superscript"/>
        </w:rPr>
        <w:footnoteReference w:id="211"/>
      </w:r>
      <w:r w:rsidR="00B271F9" w:rsidRPr="0042152F">
        <w:rPr>
          <w:rFonts w:ascii="Times New Roman" w:hAnsi="Times New Roman" w:cs="Times New Roman"/>
          <w:sz w:val="24"/>
          <w:szCs w:val="24"/>
        </w:rPr>
        <w:t xml:space="preserve"> </w:t>
      </w:r>
      <w:r w:rsidR="00AC171E" w:rsidRPr="0042152F">
        <w:rPr>
          <w:rFonts w:ascii="Times New Roman" w:hAnsi="Times New Roman" w:cs="Times New Roman"/>
          <w:sz w:val="24"/>
          <w:szCs w:val="24"/>
        </w:rPr>
        <w:t xml:space="preserve">Soon after, </w:t>
      </w:r>
      <w:r w:rsidR="00E242EB" w:rsidRPr="0042152F">
        <w:rPr>
          <w:rFonts w:ascii="Times New Roman" w:hAnsi="Times New Roman" w:cs="Times New Roman"/>
          <w:sz w:val="24"/>
          <w:szCs w:val="24"/>
        </w:rPr>
        <w:t>Tesla shareholders sued</w:t>
      </w:r>
      <w:r w:rsidR="001758D9" w:rsidRPr="0042152F">
        <w:rPr>
          <w:rFonts w:ascii="Times New Roman" w:hAnsi="Times New Roman" w:cs="Times New Roman"/>
          <w:sz w:val="24"/>
          <w:szCs w:val="24"/>
        </w:rPr>
        <w:t xml:space="preserve"> the board</w:t>
      </w:r>
      <w:r w:rsidR="00E242EB" w:rsidRPr="0042152F">
        <w:rPr>
          <w:rFonts w:ascii="Times New Roman" w:hAnsi="Times New Roman" w:cs="Times New Roman"/>
          <w:sz w:val="24"/>
          <w:szCs w:val="24"/>
        </w:rPr>
        <w:t xml:space="preserve">, claiming that Musk pushed Tesla to pay </w:t>
      </w:r>
      <w:r w:rsidR="00AC171E" w:rsidRPr="0042152F">
        <w:rPr>
          <w:rFonts w:ascii="Times New Roman" w:hAnsi="Times New Roman" w:cs="Times New Roman"/>
          <w:sz w:val="24"/>
          <w:szCs w:val="24"/>
        </w:rPr>
        <w:t>far too much</w:t>
      </w:r>
      <w:r w:rsidR="007C1809" w:rsidRPr="0042152F">
        <w:rPr>
          <w:rFonts w:ascii="Times New Roman" w:hAnsi="Times New Roman" w:cs="Times New Roman"/>
          <w:sz w:val="24"/>
          <w:szCs w:val="24"/>
        </w:rPr>
        <w:t xml:space="preserve"> for </w:t>
      </w:r>
      <w:r w:rsidR="00E242EB" w:rsidRPr="0042152F">
        <w:rPr>
          <w:rFonts w:ascii="Times New Roman" w:hAnsi="Times New Roman" w:cs="Times New Roman"/>
          <w:sz w:val="24"/>
          <w:szCs w:val="24"/>
        </w:rPr>
        <w:t>SolarCity</w:t>
      </w:r>
      <w:r w:rsidR="00AC171E" w:rsidRPr="0042152F">
        <w:rPr>
          <w:rFonts w:ascii="Times New Roman" w:hAnsi="Times New Roman" w:cs="Times New Roman"/>
          <w:sz w:val="24"/>
          <w:szCs w:val="24"/>
        </w:rPr>
        <w:t xml:space="preserve"> (</w:t>
      </w:r>
      <w:r w:rsidR="007C1809" w:rsidRPr="0042152F">
        <w:rPr>
          <w:rFonts w:ascii="Times New Roman" w:hAnsi="Times New Roman" w:cs="Times New Roman"/>
          <w:sz w:val="24"/>
          <w:szCs w:val="24"/>
        </w:rPr>
        <w:t>a company on the verge of bankruptcy</w:t>
      </w:r>
      <w:r w:rsidR="00AC171E" w:rsidRPr="0042152F">
        <w:rPr>
          <w:rFonts w:ascii="Times New Roman" w:hAnsi="Times New Roman" w:cs="Times New Roman"/>
          <w:sz w:val="24"/>
          <w:szCs w:val="24"/>
        </w:rPr>
        <w:t xml:space="preserve">) because of Musk’s </w:t>
      </w:r>
      <w:r w:rsidR="00BC4079">
        <w:rPr>
          <w:rFonts w:ascii="Times New Roman" w:hAnsi="Times New Roman" w:cs="Times New Roman"/>
          <w:sz w:val="24"/>
          <w:szCs w:val="24"/>
        </w:rPr>
        <w:t xml:space="preserve">strong </w:t>
      </w:r>
      <w:r w:rsidR="00AC171E" w:rsidRPr="0042152F">
        <w:rPr>
          <w:rFonts w:ascii="Times New Roman" w:hAnsi="Times New Roman" w:cs="Times New Roman"/>
          <w:sz w:val="24"/>
          <w:szCs w:val="24"/>
        </w:rPr>
        <w:t>ties to SolarCity</w:t>
      </w:r>
      <w:r w:rsidR="00BC4079">
        <w:rPr>
          <w:rFonts w:ascii="Times New Roman" w:hAnsi="Times New Roman" w:cs="Times New Roman"/>
          <w:sz w:val="24"/>
          <w:szCs w:val="24"/>
        </w:rPr>
        <w:t xml:space="preserve">. Specifically, </w:t>
      </w:r>
      <w:r w:rsidR="001758D9" w:rsidRPr="0042152F">
        <w:rPr>
          <w:rFonts w:ascii="Times New Roman" w:hAnsi="Times New Roman" w:cs="Times New Roman"/>
          <w:sz w:val="24"/>
          <w:szCs w:val="24"/>
        </w:rPr>
        <w:t>SolarCity was</w:t>
      </w:r>
      <w:r w:rsidR="007C1809" w:rsidRPr="0042152F">
        <w:rPr>
          <w:rFonts w:ascii="Times New Roman" w:hAnsi="Times New Roman" w:cs="Times New Roman"/>
          <w:sz w:val="24"/>
          <w:szCs w:val="24"/>
        </w:rPr>
        <w:t xml:space="preserve"> </w:t>
      </w:r>
      <w:r w:rsidR="00E242EB" w:rsidRPr="0042152F">
        <w:rPr>
          <w:rFonts w:ascii="Times New Roman" w:hAnsi="Times New Roman" w:cs="Times New Roman"/>
          <w:sz w:val="24"/>
          <w:szCs w:val="24"/>
        </w:rPr>
        <w:t xml:space="preserve">founded by </w:t>
      </w:r>
      <w:r w:rsidR="00280AD5" w:rsidRPr="0042152F">
        <w:rPr>
          <w:rFonts w:ascii="Times New Roman" w:hAnsi="Times New Roman" w:cs="Times New Roman"/>
          <w:sz w:val="24"/>
          <w:szCs w:val="24"/>
        </w:rPr>
        <w:t>Musk’s</w:t>
      </w:r>
      <w:r w:rsidR="00E242EB" w:rsidRPr="0042152F">
        <w:rPr>
          <w:rFonts w:ascii="Times New Roman" w:hAnsi="Times New Roman" w:cs="Times New Roman"/>
          <w:sz w:val="24"/>
          <w:szCs w:val="24"/>
        </w:rPr>
        <w:t xml:space="preserve"> cousins</w:t>
      </w:r>
      <w:r w:rsidR="001758D9" w:rsidRPr="0042152F">
        <w:rPr>
          <w:rFonts w:ascii="Times New Roman" w:hAnsi="Times New Roman" w:cs="Times New Roman"/>
          <w:sz w:val="24"/>
          <w:szCs w:val="24"/>
        </w:rPr>
        <w:t>, and</w:t>
      </w:r>
      <w:r w:rsidR="00451989" w:rsidRPr="0042152F">
        <w:rPr>
          <w:rFonts w:ascii="Times New Roman" w:hAnsi="Times New Roman" w:cs="Times New Roman"/>
          <w:sz w:val="24"/>
          <w:szCs w:val="24"/>
        </w:rPr>
        <w:t xml:space="preserve"> Musk was the chairman of the board and the largest shareholder</w:t>
      </w:r>
      <w:r w:rsidR="00E242EB" w:rsidRPr="0042152F">
        <w:rPr>
          <w:rFonts w:ascii="Times New Roman" w:hAnsi="Times New Roman" w:cs="Times New Roman"/>
          <w:sz w:val="24"/>
          <w:szCs w:val="24"/>
        </w:rPr>
        <w:t>.</w:t>
      </w:r>
      <w:r w:rsidR="00B94A1E" w:rsidRPr="0042152F">
        <w:rPr>
          <w:rStyle w:val="FootnoteReference"/>
          <w:rFonts w:ascii="Times New Roman" w:hAnsi="Times New Roman" w:cs="Times New Roman"/>
          <w:sz w:val="24"/>
          <w:szCs w:val="24"/>
        </w:rPr>
        <w:footnoteReference w:id="212"/>
      </w:r>
      <w:r w:rsidR="00E242EB" w:rsidRPr="0042152F">
        <w:rPr>
          <w:rFonts w:ascii="Times New Roman" w:hAnsi="Times New Roman" w:cs="Times New Roman"/>
          <w:sz w:val="24"/>
          <w:szCs w:val="24"/>
        </w:rPr>
        <w:t xml:space="preserve"> </w:t>
      </w:r>
    </w:p>
    <w:p w14:paraId="2887943D" w14:textId="78F6D98D" w:rsidR="00FC2A69" w:rsidRPr="0042152F" w:rsidRDefault="00F64FD9"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 Musk did not own a </w:t>
      </w:r>
      <w:r w:rsidR="00EF5432" w:rsidRPr="0042152F">
        <w:rPr>
          <w:rFonts w:ascii="Times New Roman" w:hAnsi="Times New Roman" w:cs="Times New Roman"/>
          <w:sz w:val="24"/>
          <w:szCs w:val="24"/>
        </w:rPr>
        <w:t>majority</w:t>
      </w:r>
      <w:r w:rsidRPr="0042152F">
        <w:rPr>
          <w:rFonts w:ascii="Times New Roman" w:hAnsi="Times New Roman" w:cs="Times New Roman"/>
          <w:sz w:val="24"/>
          <w:szCs w:val="24"/>
        </w:rPr>
        <w:t xml:space="preserve"> stake in </w:t>
      </w:r>
      <w:r w:rsidR="00C0399E" w:rsidRPr="0042152F">
        <w:rPr>
          <w:rFonts w:ascii="Times New Roman" w:hAnsi="Times New Roman" w:cs="Times New Roman"/>
          <w:sz w:val="24"/>
          <w:szCs w:val="24"/>
        </w:rPr>
        <w:t>Tesla,</w:t>
      </w:r>
      <w:r w:rsidRPr="0042152F">
        <w:rPr>
          <w:rFonts w:ascii="Times New Roman" w:hAnsi="Times New Roman" w:cs="Times New Roman"/>
          <w:sz w:val="24"/>
          <w:szCs w:val="24"/>
        </w:rPr>
        <w:t xml:space="preserve"> </w:t>
      </w:r>
      <w:r w:rsidR="00C0399E" w:rsidRPr="0042152F">
        <w:rPr>
          <w:rFonts w:ascii="Times New Roman" w:hAnsi="Times New Roman" w:cs="Times New Roman"/>
          <w:sz w:val="24"/>
          <w:szCs w:val="24"/>
        </w:rPr>
        <w:t xml:space="preserve">but </w:t>
      </w:r>
      <w:r w:rsidRPr="0042152F">
        <w:rPr>
          <w:rFonts w:ascii="Times New Roman" w:hAnsi="Times New Roman" w:cs="Times New Roman"/>
          <w:sz w:val="24"/>
          <w:szCs w:val="24"/>
        </w:rPr>
        <w:t xml:space="preserve">the plaintiff shareholders argued that </w:t>
      </w:r>
      <w:r w:rsidR="00C0399E" w:rsidRPr="0042152F">
        <w:rPr>
          <w:rFonts w:ascii="Times New Roman" w:hAnsi="Times New Roman" w:cs="Times New Roman"/>
          <w:sz w:val="24"/>
          <w:szCs w:val="24"/>
        </w:rPr>
        <w:t xml:space="preserve">he </w:t>
      </w:r>
      <w:r w:rsidRPr="0042152F">
        <w:rPr>
          <w:rFonts w:ascii="Times New Roman" w:hAnsi="Times New Roman" w:cs="Times New Roman"/>
          <w:sz w:val="24"/>
          <w:szCs w:val="24"/>
        </w:rPr>
        <w:t>did control both Tesla and SolarCity and therefore the transaction was subject to entire fairness review.</w:t>
      </w:r>
      <w:r w:rsidR="00B271F9" w:rsidRPr="0042152F">
        <w:rPr>
          <w:rStyle w:val="FootnoteReference"/>
          <w:rFonts w:ascii="Times New Roman" w:hAnsi="Times New Roman" w:cs="Times New Roman"/>
          <w:sz w:val="24"/>
          <w:szCs w:val="24"/>
        </w:rPr>
        <w:footnoteReference w:id="213"/>
      </w:r>
      <w:r w:rsidRPr="0042152F">
        <w:rPr>
          <w:rFonts w:ascii="Times New Roman" w:hAnsi="Times New Roman" w:cs="Times New Roman"/>
          <w:sz w:val="24"/>
          <w:szCs w:val="24"/>
        </w:rPr>
        <w:t xml:space="preserve"> </w:t>
      </w:r>
      <w:r w:rsidR="00AF50E4" w:rsidRPr="0042152F">
        <w:rPr>
          <w:rFonts w:ascii="Times New Roman" w:hAnsi="Times New Roman" w:cs="Times New Roman"/>
          <w:sz w:val="24"/>
          <w:szCs w:val="24"/>
        </w:rPr>
        <w:t xml:space="preserve">Tesla did not appoint a special committee to negotiate the acquisition, but it did subject </w:t>
      </w:r>
      <w:r w:rsidR="00672B65" w:rsidRPr="0042152F">
        <w:rPr>
          <w:rFonts w:ascii="Times New Roman" w:hAnsi="Times New Roman" w:cs="Times New Roman"/>
          <w:sz w:val="24"/>
          <w:szCs w:val="24"/>
        </w:rPr>
        <w:t xml:space="preserve">it to a vote by a majority of disinterested shareholders. </w:t>
      </w:r>
      <w:r w:rsidRPr="0042152F">
        <w:rPr>
          <w:rFonts w:ascii="Times New Roman" w:hAnsi="Times New Roman" w:cs="Times New Roman"/>
          <w:sz w:val="24"/>
          <w:szCs w:val="24"/>
        </w:rPr>
        <w:t>Rather than resolve the disputed issue of Musk’s status as a controller of Tesla</w:t>
      </w:r>
      <w:r w:rsidR="00672B65" w:rsidRPr="0042152F">
        <w:rPr>
          <w:rFonts w:ascii="Times New Roman" w:hAnsi="Times New Roman" w:cs="Times New Roman"/>
          <w:sz w:val="24"/>
          <w:szCs w:val="24"/>
        </w:rPr>
        <w:t xml:space="preserve"> and the burden of persuasion under </w:t>
      </w:r>
      <w:r w:rsidR="00672B65" w:rsidRPr="0042152F">
        <w:rPr>
          <w:rFonts w:ascii="Times New Roman" w:hAnsi="Times New Roman" w:cs="Times New Roman"/>
          <w:i/>
          <w:iCs/>
          <w:sz w:val="24"/>
          <w:szCs w:val="24"/>
        </w:rPr>
        <w:t>MFW</w:t>
      </w:r>
      <w:r w:rsidRPr="0042152F">
        <w:rPr>
          <w:rFonts w:ascii="Times New Roman" w:hAnsi="Times New Roman" w:cs="Times New Roman"/>
          <w:sz w:val="24"/>
          <w:szCs w:val="24"/>
        </w:rPr>
        <w:t>, the court went directly to evaluating the transaction under the entire fairness standard.</w:t>
      </w:r>
      <w:r w:rsidR="001758D9" w:rsidRPr="0042152F">
        <w:rPr>
          <w:rStyle w:val="FootnoteReference"/>
          <w:rFonts w:ascii="Times New Roman" w:hAnsi="Times New Roman" w:cs="Times New Roman"/>
          <w:sz w:val="24"/>
          <w:szCs w:val="24"/>
        </w:rPr>
        <w:footnoteReference w:id="214"/>
      </w:r>
      <w:r w:rsidR="00002FD2" w:rsidRPr="0042152F">
        <w:rPr>
          <w:rFonts w:ascii="Times New Roman" w:hAnsi="Times New Roman" w:cs="Times New Roman"/>
          <w:sz w:val="24"/>
          <w:szCs w:val="24"/>
        </w:rPr>
        <w:t xml:space="preserve"> </w:t>
      </w:r>
      <w:r w:rsidR="000320CF" w:rsidRPr="0042152F">
        <w:rPr>
          <w:rFonts w:ascii="Times New Roman" w:hAnsi="Times New Roman" w:cs="Times New Roman"/>
          <w:sz w:val="24"/>
          <w:szCs w:val="24"/>
        </w:rPr>
        <w:t>As such</w:t>
      </w:r>
      <w:r w:rsidR="00002FD2" w:rsidRPr="0042152F">
        <w:rPr>
          <w:rFonts w:ascii="Times New Roman" w:hAnsi="Times New Roman" w:cs="Times New Roman"/>
          <w:sz w:val="24"/>
          <w:szCs w:val="24"/>
        </w:rPr>
        <w:t xml:space="preserve">, the court was required to </w:t>
      </w:r>
      <w:r w:rsidR="000320CF" w:rsidRPr="0042152F">
        <w:rPr>
          <w:rFonts w:ascii="Times New Roman" w:hAnsi="Times New Roman" w:cs="Times New Roman"/>
          <w:sz w:val="24"/>
          <w:szCs w:val="24"/>
        </w:rPr>
        <w:t>determine whether</w:t>
      </w:r>
      <w:r w:rsidR="00EF5432" w:rsidRPr="0042152F">
        <w:rPr>
          <w:rFonts w:ascii="Times New Roman" w:hAnsi="Times New Roman" w:cs="Times New Roman"/>
          <w:sz w:val="24"/>
          <w:szCs w:val="24"/>
        </w:rPr>
        <w:t xml:space="preserve"> </w:t>
      </w:r>
      <w:r w:rsidR="00FC2A69" w:rsidRPr="0042152F">
        <w:rPr>
          <w:rFonts w:ascii="Times New Roman" w:hAnsi="Times New Roman" w:cs="Times New Roman"/>
          <w:sz w:val="24"/>
          <w:szCs w:val="24"/>
        </w:rPr>
        <w:t xml:space="preserve">the price that Tesla paid </w:t>
      </w:r>
      <w:r w:rsidR="00AB4D89" w:rsidRPr="0042152F">
        <w:rPr>
          <w:rFonts w:ascii="Times New Roman" w:hAnsi="Times New Roman" w:cs="Times New Roman"/>
          <w:sz w:val="24"/>
          <w:szCs w:val="24"/>
        </w:rPr>
        <w:t xml:space="preserve">for SolarCity </w:t>
      </w:r>
      <w:r w:rsidR="00FC2A69" w:rsidRPr="0042152F">
        <w:rPr>
          <w:rFonts w:ascii="Times New Roman" w:hAnsi="Times New Roman" w:cs="Times New Roman"/>
          <w:sz w:val="24"/>
          <w:szCs w:val="24"/>
        </w:rPr>
        <w:t>was fair.</w:t>
      </w:r>
    </w:p>
    <w:p w14:paraId="4254C979" w14:textId="782ED420" w:rsidR="004B2A04" w:rsidRDefault="00895123"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672B65" w:rsidRPr="0042152F">
        <w:rPr>
          <w:rFonts w:ascii="Times New Roman" w:hAnsi="Times New Roman" w:cs="Times New Roman"/>
          <w:sz w:val="24"/>
          <w:szCs w:val="24"/>
        </w:rPr>
        <w:t>his valuation task is</w:t>
      </w:r>
      <w:r w:rsidR="00603583" w:rsidRPr="0042152F">
        <w:rPr>
          <w:rFonts w:ascii="Times New Roman" w:hAnsi="Times New Roman" w:cs="Times New Roman"/>
          <w:sz w:val="24"/>
          <w:szCs w:val="24"/>
        </w:rPr>
        <w:t xml:space="preserve"> significantly different than the more common valuation </w:t>
      </w:r>
      <w:r w:rsidR="00A5008B" w:rsidRPr="0042152F">
        <w:rPr>
          <w:rFonts w:ascii="Times New Roman" w:hAnsi="Times New Roman" w:cs="Times New Roman"/>
          <w:sz w:val="24"/>
          <w:szCs w:val="24"/>
        </w:rPr>
        <w:t xml:space="preserve">task that courts face in freezeouts or the sale of the company to a third party. </w:t>
      </w:r>
      <w:r w:rsidR="007C1809" w:rsidRPr="0042152F">
        <w:rPr>
          <w:rFonts w:ascii="Times New Roman" w:hAnsi="Times New Roman" w:cs="Times New Roman"/>
          <w:sz w:val="24"/>
          <w:szCs w:val="24"/>
        </w:rPr>
        <w:t>T</w:t>
      </w:r>
      <w:r w:rsidR="00FC2A69" w:rsidRPr="0042152F">
        <w:rPr>
          <w:rFonts w:ascii="Times New Roman" w:hAnsi="Times New Roman" w:cs="Times New Roman"/>
          <w:sz w:val="24"/>
          <w:szCs w:val="24"/>
        </w:rPr>
        <w:t xml:space="preserve">his </w:t>
      </w:r>
      <w:r w:rsidR="00A5008B" w:rsidRPr="0042152F">
        <w:rPr>
          <w:rFonts w:ascii="Times New Roman" w:hAnsi="Times New Roman" w:cs="Times New Roman"/>
          <w:sz w:val="24"/>
          <w:szCs w:val="24"/>
        </w:rPr>
        <w:t xml:space="preserve">case </w:t>
      </w:r>
      <w:r w:rsidR="00FC2A69" w:rsidRPr="0042152F">
        <w:rPr>
          <w:rFonts w:ascii="Times New Roman" w:hAnsi="Times New Roman" w:cs="Times New Roman"/>
          <w:sz w:val="24"/>
          <w:szCs w:val="24"/>
        </w:rPr>
        <w:t>require</w:t>
      </w:r>
      <w:r w:rsidR="00235397" w:rsidRPr="0042152F">
        <w:rPr>
          <w:rFonts w:ascii="Times New Roman" w:hAnsi="Times New Roman" w:cs="Times New Roman"/>
          <w:sz w:val="24"/>
          <w:szCs w:val="24"/>
        </w:rPr>
        <w:t>d</w:t>
      </w:r>
      <w:r w:rsidR="00FC2A69" w:rsidRPr="0042152F">
        <w:rPr>
          <w:rFonts w:ascii="Times New Roman" w:hAnsi="Times New Roman" w:cs="Times New Roman"/>
          <w:sz w:val="24"/>
          <w:szCs w:val="24"/>
        </w:rPr>
        <w:t xml:space="preserve"> the court to </w:t>
      </w:r>
      <w:r w:rsidR="00443F25" w:rsidRPr="0042152F">
        <w:rPr>
          <w:rFonts w:ascii="Times New Roman" w:hAnsi="Times New Roman" w:cs="Times New Roman"/>
          <w:sz w:val="24"/>
          <w:szCs w:val="24"/>
        </w:rPr>
        <w:t>determine SolarCity’s value to Tesla</w:t>
      </w:r>
      <w:r w:rsidR="00235397" w:rsidRPr="0042152F">
        <w:rPr>
          <w:rFonts w:ascii="Times New Roman" w:hAnsi="Times New Roman" w:cs="Times New Roman"/>
          <w:sz w:val="24"/>
          <w:szCs w:val="24"/>
        </w:rPr>
        <w:t>, including</w:t>
      </w:r>
      <w:r w:rsidR="00176E5E" w:rsidRPr="0042152F">
        <w:rPr>
          <w:rFonts w:ascii="Times New Roman" w:hAnsi="Times New Roman" w:cs="Times New Roman"/>
          <w:sz w:val="24"/>
          <w:szCs w:val="24"/>
        </w:rPr>
        <w:t xml:space="preserve"> </w:t>
      </w:r>
      <w:r w:rsidR="00235397" w:rsidRPr="0042152F">
        <w:rPr>
          <w:rFonts w:ascii="Times New Roman" w:hAnsi="Times New Roman" w:cs="Times New Roman"/>
          <w:sz w:val="24"/>
          <w:szCs w:val="24"/>
        </w:rPr>
        <w:t>the</w:t>
      </w:r>
      <w:r w:rsidR="00176E5E" w:rsidRPr="0042152F">
        <w:rPr>
          <w:rFonts w:ascii="Times New Roman" w:hAnsi="Times New Roman" w:cs="Times New Roman"/>
          <w:sz w:val="24"/>
          <w:szCs w:val="24"/>
        </w:rPr>
        <w:t xml:space="preserve"> value of </w:t>
      </w:r>
      <w:r w:rsidR="00AF7139" w:rsidRPr="0042152F">
        <w:rPr>
          <w:rFonts w:ascii="Times New Roman" w:hAnsi="Times New Roman" w:cs="Times New Roman"/>
          <w:sz w:val="24"/>
          <w:szCs w:val="24"/>
        </w:rPr>
        <w:t xml:space="preserve">synergies </w:t>
      </w:r>
      <w:r w:rsidR="00235397" w:rsidRPr="0042152F">
        <w:rPr>
          <w:rFonts w:ascii="Times New Roman" w:hAnsi="Times New Roman" w:cs="Times New Roman"/>
          <w:sz w:val="24"/>
          <w:szCs w:val="24"/>
        </w:rPr>
        <w:t xml:space="preserve">expected to </w:t>
      </w:r>
      <w:r w:rsidR="00AF7139" w:rsidRPr="0042152F">
        <w:rPr>
          <w:rFonts w:ascii="Times New Roman" w:hAnsi="Times New Roman" w:cs="Times New Roman"/>
          <w:sz w:val="24"/>
          <w:szCs w:val="24"/>
        </w:rPr>
        <w:t>aris</w:t>
      </w:r>
      <w:r w:rsidR="00235397" w:rsidRPr="0042152F">
        <w:rPr>
          <w:rFonts w:ascii="Times New Roman" w:hAnsi="Times New Roman" w:cs="Times New Roman"/>
          <w:sz w:val="24"/>
          <w:szCs w:val="24"/>
        </w:rPr>
        <w:t>e</w:t>
      </w:r>
      <w:r w:rsidR="00AF7139" w:rsidRPr="0042152F">
        <w:rPr>
          <w:rFonts w:ascii="Times New Roman" w:hAnsi="Times New Roman" w:cs="Times New Roman"/>
          <w:sz w:val="24"/>
          <w:szCs w:val="24"/>
        </w:rPr>
        <w:t xml:space="preserve"> from the acquisition</w:t>
      </w:r>
      <w:r w:rsidR="009217FA" w:rsidRPr="0042152F">
        <w:rPr>
          <w:rFonts w:ascii="Times New Roman" w:hAnsi="Times New Roman" w:cs="Times New Roman"/>
          <w:sz w:val="24"/>
          <w:szCs w:val="24"/>
        </w:rPr>
        <w:t xml:space="preserve">. This value </w:t>
      </w:r>
      <w:r w:rsidR="00AF7139" w:rsidRPr="0042152F">
        <w:rPr>
          <w:rFonts w:ascii="Times New Roman" w:hAnsi="Times New Roman" w:cs="Times New Roman"/>
          <w:sz w:val="24"/>
          <w:szCs w:val="24"/>
        </w:rPr>
        <w:t xml:space="preserve">in turn </w:t>
      </w:r>
      <w:r w:rsidR="00BC4512" w:rsidRPr="0042152F">
        <w:rPr>
          <w:rFonts w:ascii="Times New Roman" w:hAnsi="Times New Roman" w:cs="Times New Roman"/>
          <w:sz w:val="24"/>
          <w:szCs w:val="24"/>
        </w:rPr>
        <w:t>depend</w:t>
      </w:r>
      <w:r w:rsidR="00BC4512">
        <w:rPr>
          <w:rFonts w:ascii="Times New Roman" w:hAnsi="Times New Roman" w:cs="Times New Roman"/>
          <w:sz w:val="24"/>
          <w:szCs w:val="24"/>
        </w:rPr>
        <w:t>ed</w:t>
      </w:r>
      <w:r w:rsidR="00BC4512" w:rsidRPr="0042152F">
        <w:rPr>
          <w:rFonts w:ascii="Times New Roman" w:hAnsi="Times New Roman" w:cs="Times New Roman"/>
          <w:sz w:val="24"/>
          <w:szCs w:val="24"/>
        </w:rPr>
        <w:t xml:space="preserve"> </w:t>
      </w:r>
      <w:r w:rsidR="00AF7139" w:rsidRPr="0042152F">
        <w:rPr>
          <w:rFonts w:ascii="Times New Roman" w:hAnsi="Times New Roman" w:cs="Times New Roman"/>
          <w:sz w:val="24"/>
          <w:szCs w:val="24"/>
        </w:rPr>
        <w:t xml:space="preserve">on </w:t>
      </w:r>
      <w:r w:rsidR="00F64FD9" w:rsidRPr="0042152F">
        <w:rPr>
          <w:rFonts w:ascii="Times New Roman" w:hAnsi="Times New Roman" w:cs="Times New Roman"/>
          <w:sz w:val="24"/>
          <w:szCs w:val="24"/>
        </w:rPr>
        <w:t>Musk’s vision for Tesla</w:t>
      </w:r>
      <w:r w:rsidR="00235397" w:rsidRPr="0042152F">
        <w:rPr>
          <w:rFonts w:ascii="Times New Roman" w:hAnsi="Times New Roman" w:cs="Times New Roman"/>
          <w:sz w:val="24"/>
          <w:szCs w:val="24"/>
        </w:rPr>
        <w:t>, which</w:t>
      </w:r>
      <w:r w:rsidR="00F64FD9" w:rsidRPr="0042152F">
        <w:rPr>
          <w:rFonts w:ascii="Times New Roman" w:hAnsi="Times New Roman" w:cs="Times New Roman"/>
          <w:sz w:val="24"/>
          <w:szCs w:val="24"/>
        </w:rPr>
        <w:t xml:space="preserve"> had been set out under </w:t>
      </w:r>
      <w:r w:rsidR="00552DDF" w:rsidRPr="0042152F">
        <w:rPr>
          <w:rFonts w:ascii="Times New Roman" w:hAnsi="Times New Roman" w:cs="Times New Roman"/>
          <w:sz w:val="24"/>
          <w:szCs w:val="24"/>
        </w:rPr>
        <w:t>a</w:t>
      </w:r>
      <w:r w:rsidR="00F64FD9" w:rsidRPr="0042152F">
        <w:rPr>
          <w:rFonts w:ascii="Times New Roman" w:hAnsi="Times New Roman" w:cs="Times New Roman"/>
          <w:sz w:val="24"/>
          <w:szCs w:val="24"/>
        </w:rPr>
        <w:t xml:space="preserve"> “Master Plan</w:t>
      </w:r>
      <w:r w:rsidR="00BC4512">
        <w:rPr>
          <w:rFonts w:ascii="Times New Roman" w:hAnsi="Times New Roman" w:cs="Times New Roman"/>
          <w:sz w:val="24"/>
          <w:szCs w:val="24"/>
        </w:rPr>
        <w:t xml:space="preserve">” to </w:t>
      </w:r>
      <w:r w:rsidR="00F64FD9" w:rsidRPr="0042152F">
        <w:rPr>
          <w:rFonts w:ascii="Times New Roman" w:hAnsi="Times New Roman" w:cs="Times New Roman"/>
          <w:sz w:val="24"/>
          <w:szCs w:val="24"/>
        </w:rPr>
        <w:t>“accelerate the world transition to sustainable energy</w:t>
      </w:r>
      <w:r w:rsidR="00BC4512">
        <w:rPr>
          <w:rFonts w:ascii="Times New Roman" w:hAnsi="Times New Roman" w:cs="Times New Roman"/>
          <w:sz w:val="24"/>
          <w:szCs w:val="24"/>
        </w:rPr>
        <w:t>,” with</w:t>
      </w:r>
      <w:r w:rsidR="00F64FD9" w:rsidRPr="0042152F">
        <w:rPr>
          <w:rFonts w:ascii="Times New Roman" w:hAnsi="Times New Roman" w:cs="Times New Roman"/>
          <w:sz w:val="24"/>
          <w:szCs w:val="24"/>
        </w:rPr>
        <w:t xml:space="preserve"> SolarCity </w:t>
      </w:r>
      <w:r w:rsidR="00BC4512">
        <w:rPr>
          <w:rFonts w:ascii="Times New Roman" w:hAnsi="Times New Roman" w:cs="Times New Roman"/>
          <w:sz w:val="24"/>
          <w:szCs w:val="24"/>
        </w:rPr>
        <w:t>as a key</w:t>
      </w:r>
      <w:r w:rsidR="00F64FD9" w:rsidRPr="0042152F">
        <w:rPr>
          <w:rFonts w:ascii="Times New Roman" w:hAnsi="Times New Roman" w:cs="Times New Roman"/>
          <w:sz w:val="24"/>
          <w:szCs w:val="24"/>
        </w:rPr>
        <w:t xml:space="preserve"> part of this vision.</w:t>
      </w:r>
      <w:r w:rsidR="00F64FD9" w:rsidRPr="0042152F">
        <w:rPr>
          <w:rFonts w:ascii="Times New Roman" w:hAnsi="Times New Roman" w:cs="Times New Roman"/>
          <w:sz w:val="24"/>
          <w:szCs w:val="24"/>
          <w:vertAlign w:val="superscript"/>
        </w:rPr>
        <w:footnoteReference w:id="215"/>
      </w:r>
      <w:r w:rsidR="00F64FD9" w:rsidRPr="0042152F">
        <w:rPr>
          <w:rFonts w:ascii="Times New Roman" w:hAnsi="Times New Roman" w:cs="Times New Roman"/>
          <w:sz w:val="24"/>
          <w:szCs w:val="24"/>
        </w:rPr>
        <w:t xml:space="preserve"> </w:t>
      </w:r>
    </w:p>
    <w:p w14:paraId="644BC6F7" w14:textId="37C31EE6" w:rsidR="00F11C16" w:rsidRDefault="00F11C16" w:rsidP="00B54C7C">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Therefore, this example reveals that </w:t>
      </w:r>
      <w:r w:rsidR="00EB48DB">
        <w:rPr>
          <w:rFonts w:ascii="Times New Roman" w:hAnsi="Times New Roman" w:cs="Times New Roman"/>
          <w:sz w:val="24"/>
          <w:szCs w:val="24"/>
        </w:rPr>
        <w:t>just as idiosyncratic vision can surface in a compensation decision, it can</w:t>
      </w:r>
      <w:r>
        <w:rPr>
          <w:rFonts w:ascii="Times New Roman" w:hAnsi="Times New Roman" w:cs="Times New Roman"/>
          <w:sz w:val="24"/>
          <w:szCs w:val="24"/>
        </w:rPr>
        <w:t xml:space="preserve"> </w:t>
      </w:r>
      <w:r w:rsidR="00EB48DB">
        <w:rPr>
          <w:rFonts w:ascii="Times New Roman" w:hAnsi="Times New Roman" w:cs="Times New Roman"/>
          <w:sz w:val="24"/>
          <w:szCs w:val="24"/>
        </w:rPr>
        <w:t>also appear</w:t>
      </w:r>
      <w:r w:rsidRPr="0042152F">
        <w:rPr>
          <w:rFonts w:ascii="Times New Roman" w:hAnsi="Times New Roman" w:cs="Times New Roman"/>
          <w:sz w:val="24"/>
          <w:szCs w:val="24"/>
        </w:rPr>
        <w:t xml:space="preserve"> </w:t>
      </w:r>
      <w:r>
        <w:rPr>
          <w:rFonts w:ascii="Times New Roman" w:hAnsi="Times New Roman" w:cs="Times New Roman"/>
          <w:sz w:val="24"/>
          <w:szCs w:val="24"/>
        </w:rPr>
        <w:t xml:space="preserve">in an acquisition of a company </w:t>
      </w:r>
      <w:r w:rsidRPr="0042152F">
        <w:rPr>
          <w:rFonts w:ascii="Times New Roman" w:hAnsi="Times New Roman" w:cs="Times New Roman"/>
          <w:sz w:val="24"/>
          <w:szCs w:val="24"/>
        </w:rPr>
        <w:t xml:space="preserve">on the part of the </w:t>
      </w:r>
      <w:r w:rsidRPr="0042152F">
        <w:rPr>
          <w:rFonts w:ascii="Times New Roman" w:hAnsi="Times New Roman" w:cs="Times New Roman"/>
          <w:i/>
          <w:iCs/>
          <w:sz w:val="24"/>
          <w:szCs w:val="24"/>
        </w:rPr>
        <w:t>buyer</w:t>
      </w:r>
      <w:r w:rsidRPr="0042152F">
        <w:rPr>
          <w:rFonts w:ascii="Times New Roman" w:hAnsi="Times New Roman" w:cs="Times New Roman"/>
          <w:sz w:val="24"/>
          <w:szCs w:val="24"/>
        </w:rPr>
        <w:t>. When the buyer assesses the value of a target, the cash</w:t>
      </w:r>
      <w:r>
        <w:rPr>
          <w:rFonts w:ascii="Times New Roman" w:hAnsi="Times New Roman" w:cs="Times New Roman"/>
          <w:sz w:val="24"/>
          <w:szCs w:val="24"/>
        </w:rPr>
        <w:t>-</w:t>
      </w:r>
      <w:r w:rsidRPr="0042152F">
        <w:rPr>
          <w:rFonts w:ascii="Times New Roman" w:hAnsi="Times New Roman" w:cs="Times New Roman"/>
          <w:sz w:val="24"/>
          <w:szCs w:val="24"/>
        </w:rPr>
        <w:t>flow those assets are expected to generate plays a role. But</w:t>
      </w:r>
      <w:r>
        <w:rPr>
          <w:rFonts w:ascii="Times New Roman" w:hAnsi="Times New Roman" w:cs="Times New Roman"/>
          <w:sz w:val="24"/>
          <w:szCs w:val="24"/>
        </w:rPr>
        <w:t xml:space="preserve"> in addition to cash-flows,</w:t>
      </w:r>
      <w:r w:rsidRPr="0042152F">
        <w:rPr>
          <w:rFonts w:ascii="Times New Roman" w:hAnsi="Times New Roman" w:cs="Times New Roman"/>
          <w:sz w:val="24"/>
          <w:szCs w:val="24"/>
        </w:rPr>
        <w:t xml:space="preserve"> </w:t>
      </w:r>
      <w:r>
        <w:rPr>
          <w:rFonts w:ascii="Times New Roman" w:hAnsi="Times New Roman" w:cs="Times New Roman"/>
          <w:sz w:val="24"/>
          <w:szCs w:val="24"/>
        </w:rPr>
        <w:t>a buyer also considers</w:t>
      </w:r>
      <w:r w:rsidRPr="0042152F">
        <w:rPr>
          <w:rFonts w:ascii="Times New Roman" w:hAnsi="Times New Roman" w:cs="Times New Roman"/>
          <w:sz w:val="24"/>
          <w:szCs w:val="24"/>
        </w:rPr>
        <w:t xml:space="preserve"> the contemplated synergies</w:t>
      </w:r>
      <w:r>
        <w:rPr>
          <w:rFonts w:ascii="Times New Roman" w:hAnsi="Times New Roman" w:cs="Times New Roman"/>
          <w:sz w:val="24"/>
          <w:szCs w:val="24"/>
        </w:rPr>
        <w:t xml:space="preserve"> between it and the target, which are</w:t>
      </w:r>
      <w:r w:rsidRPr="0042152F">
        <w:rPr>
          <w:rFonts w:ascii="Times New Roman" w:hAnsi="Times New Roman" w:cs="Times New Roman"/>
          <w:sz w:val="24"/>
          <w:szCs w:val="24"/>
        </w:rPr>
        <w:t xml:space="preserve"> expected to increase the value of the combined companies over-and-above what they are worth on their own.</w:t>
      </w:r>
      <w:r w:rsidRPr="0042152F">
        <w:rPr>
          <w:rStyle w:val="FootnoteReference"/>
          <w:rFonts w:ascii="Times New Roman" w:hAnsi="Times New Roman" w:cs="Times New Roman"/>
          <w:sz w:val="24"/>
          <w:szCs w:val="24"/>
        </w:rPr>
        <w:footnoteReference w:id="216"/>
      </w:r>
      <w:r>
        <w:rPr>
          <w:rFonts w:ascii="Times New Roman" w:hAnsi="Times New Roman" w:cs="Times New Roman"/>
          <w:sz w:val="24"/>
          <w:szCs w:val="24"/>
        </w:rPr>
        <w:t xml:space="preserve"> </w:t>
      </w:r>
      <w:r w:rsidRPr="0042152F">
        <w:rPr>
          <w:rFonts w:ascii="Times New Roman" w:hAnsi="Times New Roman" w:cs="Times New Roman"/>
          <w:sz w:val="24"/>
          <w:szCs w:val="24"/>
        </w:rPr>
        <w:t>Indeed, when reviewing the price paid by the buyer</w:t>
      </w:r>
      <w:r w:rsidRPr="0042152F">
        <w:rPr>
          <w:rFonts w:ascii="Times New Roman" w:hAnsi="Times New Roman" w:cs="Times New Roman"/>
          <w:i/>
          <w:iCs/>
          <w:sz w:val="24"/>
          <w:szCs w:val="24"/>
        </w:rPr>
        <w:t xml:space="preserve">, </w:t>
      </w:r>
      <w:r w:rsidRPr="0042152F">
        <w:rPr>
          <w:rFonts w:ascii="Times New Roman" w:hAnsi="Times New Roman" w:cs="Times New Roman"/>
          <w:sz w:val="24"/>
          <w:szCs w:val="24"/>
        </w:rPr>
        <w:t>courts take into account the value of expected synergies.</w:t>
      </w:r>
      <w:r w:rsidRPr="0042152F">
        <w:rPr>
          <w:rStyle w:val="FootnoteReference"/>
          <w:rFonts w:ascii="Times New Roman" w:hAnsi="Times New Roman" w:cs="Times New Roman"/>
          <w:sz w:val="24"/>
          <w:szCs w:val="24"/>
        </w:rPr>
        <w:footnoteReference w:id="217"/>
      </w:r>
      <w:r w:rsidRPr="0042152F">
        <w:rPr>
          <w:rFonts w:ascii="Times New Roman" w:hAnsi="Times New Roman" w:cs="Times New Roman"/>
          <w:sz w:val="24"/>
          <w:szCs w:val="24"/>
        </w:rPr>
        <w:t xml:space="preserve"> </w:t>
      </w:r>
      <w:r>
        <w:rPr>
          <w:rFonts w:ascii="Times New Roman" w:hAnsi="Times New Roman" w:cs="Times New Roman"/>
          <w:sz w:val="24"/>
          <w:szCs w:val="24"/>
        </w:rPr>
        <w:t>T</w:t>
      </w:r>
      <w:r w:rsidRPr="0042152F">
        <w:rPr>
          <w:rFonts w:ascii="Times New Roman" w:hAnsi="Times New Roman" w:cs="Times New Roman"/>
          <w:sz w:val="24"/>
          <w:szCs w:val="24"/>
        </w:rPr>
        <w:t xml:space="preserve">he ultimate value </w:t>
      </w:r>
      <w:r>
        <w:rPr>
          <w:rFonts w:ascii="Times New Roman" w:hAnsi="Times New Roman" w:cs="Times New Roman"/>
          <w:sz w:val="24"/>
          <w:szCs w:val="24"/>
        </w:rPr>
        <w:t xml:space="preserve">of these synergies </w:t>
      </w:r>
      <w:r w:rsidRPr="0042152F">
        <w:rPr>
          <w:rFonts w:ascii="Times New Roman" w:hAnsi="Times New Roman" w:cs="Times New Roman"/>
          <w:sz w:val="24"/>
          <w:szCs w:val="24"/>
        </w:rPr>
        <w:t>depends on the buyer’s vision. A visionary entrepreneur might predict that a target company will play a synerg</w:t>
      </w:r>
      <w:r>
        <w:rPr>
          <w:rFonts w:ascii="Times New Roman" w:hAnsi="Times New Roman" w:cs="Times New Roman"/>
          <w:sz w:val="24"/>
          <w:szCs w:val="24"/>
        </w:rPr>
        <w:t>is</w:t>
      </w:r>
      <w:r w:rsidRPr="0042152F">
        <w:rPr>
          <w:rFonts w:ascii="Times New Roman" w:hAnsi="Times New Roman" w:cs="Times New Roman"/>
          <w:sz w:val="24"/>
          <w:szCs w:val="24"/>
        </w:rPr>
        <w:t xml:space="preserve">tic role in implementing their vision for the buying company. This in turn will lead the visionary bidder to attach a value to the target company that would be much higher than its value for other bidders. Thus, to determine the value of the company to the buyer in that specific transaction, the court will have to confront the value of an entrepreneur’s idiosyncratic vision for the combined companies. </w:t>
      </w:r>
    </w:p>
    <w:p w14:paraId="226ED41B" w14:textId="62AE0182" w:rsidR="00AB4D89" w:rsidRPr="0042152F" w:rsidRDefault="004B2A04"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As we have shown, n</w:t>
      </w:r>
      <w:r w:rsidR="00D502A6" w:rsidRPr="0042152F">
        <w:rPr>
          <w:rFonts w:ascii="Times New Roman" w:hAnsi="Times New Roman" w:cs="Times New Roman"/>
          <w:sz w:val="24"/>
          <w:szCs w:val="24"/>
        </w:rPr>
        <w:t xml:space="preserve">either courts nor </w:t>
      </w:r>
      <w:r w:rsidR="00C53EE3">
        <w:rPr>
          <w:rFonts w:ascii="Times New Roman" w:hAnsi="Times New Roman" w:cs="Times New Roman"/>
          <w:sz w:val="24"/>
          <w:szCs w:val="24"/>
        </w:rPr>
        <w:t xml:space="preserve">the </w:t>
      </w:r>
      <w:r w:rsidR="00D3215A">
        <w:rPr>
          <w:rFonts w:ascii="Times New Roman" w:hAnsi="Times New Roman" w:cs="Times New Roman"/>
          <w:sz w:val="24"/>
          <w:szCs w:val="24"/>
        </w:rPr>
        <w:t xml:space="preserve">financial experts hired by </w:t>
      </w:r>
      <w:r w:rsidR="00D502A6" w:rsidRPr="0042152F">
        <w:rPr>
          <w:rFonts w:ascii="Times New Roman" w:hAnsi="Times New Roman" w:cs="Times New Roman"/>
          <w:sz w:val="24"/>
          <w:szCs w:val="24"/>
        </w:rPr>
        <w:t xml:space="preserve">independent directors have </w:t>
      </w:r>
      <w:r w:rsidR="00F64FD9" w:rsidRPr="0042152F">
        <w:rPr>
          <w:rFonts w:ascii="Times New Roman" w:hAnsi="Times New Roman" w:cs="Times New Roman"/>
          <w:sz w:val="24"/>
          <w:szCs w:val="24"/>
        </w:rPr>
        <w:t>the tools to reliably and objectively ascertain</w:t>
      </w:r>
      <w:r w:rsidR="00C573D5" w:rsidRPr="0042152F">
        <w:rPr>
          <w:rFonts w:ascii="Times New Roman" w:hAnsi="Times New Roman" w:cs="Times New Roman"/>
          <w:sz w:val="24"/>
          <w:szCs w:val="24"/>
        </w:rPr>
        <w:t xml:space="preserve"> </w:t>
      </w:r>
      <w:r w:rsidR="00A5008B" w:rsidRPr="0042152F">
        <w:rPr>
          <w:rFonts w:ascii="Times New Roman" w:hAnsi="Times New Roman" w:cs="Times New Roman"/>
          <w:sz w:val="24"/>
          <w:szCs w:val="24"/>
        </w:rPr>
        <w:t>the value of Musk’s vision for Tesla and its effect on the expected synergies from the SolarCity acqu</w:t>
      </w:r>
      <w:r w:rsidR="00AF1F16" w:rsidRPr="0042152F">
        <w:rPr>
          <w:rFonts w:ascii="Times New Roman" w:hAnsi="Times New Roman" w:cs="Times New Roman"/>
          <w:sz w:val="24"/>
          <w:szCs w:val="24"/>
        </w:rPr>
        <w:t>i</w:t>
      </w:r>
      <w:r w:rsidR="00A5008B" w:rsidRPr="0042152F">
        <w:rPr>
          <w:rFonts w:ascii="Times New Roman" w:hAnsi="Times New Roman" w:cs="Times New Roman"/>
          <w:sz w:val="24"/>
          <w:szCs w:val="24"/>
        </w:rPr>
        <w:t>sition</w:t>
      </w:r>
      <w:r w:rsidR="00F64FD9" w:rsidRPr="0042152F">
        <w:rPr>
          <w:rFonts w:ascii="Times New Roman" w:hAnsi="Times New Roman" w:cs="Times New Roman"/>
          <w:sz w:val="24"/>
          <w:szCs w:val="24"/>
        </w:rPr>
        <w:t>.</w:t>
      </w:r>
      <w:r w:rsidR="002A706C" w:rsidRPr="0042152F">
        <w:rPr>
          <w:rStyle w:val="FootnoteReference"/>
          <w:rFonts w:ascii="Times New Roman" w:hAnsi="Times New Roman" w:cs="Times New Roman"/>
          <w:sz w:val="24"/>
          <w:szCs w:val="24"/>
        </w:rPr>
        <w:footnoteReference w:id="218"/>
      </w:r>
      <w:r w:rsidR="002A706C" w:rsidRPr="0042152F">
        <w:rPr>
          <w:rFonts w:ascii="Times New Roman" w:hAnsi="Times New Roman" w:cs="Times New Roman"/>
          <w:sz w:val="24"/>
          <w:szCs w:val="24"/>
        </w:rPr>
        <w:t xml:space="preserve"> </w:t>
      </w:r>
      <w:r w:rsidR="005775B3">
        <w:rPr>
          <w:rFonts w:ascii="Times New Roman" w:hAnsi="Times New Roman" w:cs="Times New Roman"/>
          <w:sz w:val="24"/>
          <w:szCs w:val="24"/>
        </w:rPr>
        <w:t>T</w:t>
      </w:r>
      <w:r w:rsidRPr="0042152F">
        <w:rPr>
          <w:rFonts w:ascii="Times New Roman" w:hAnsi="Times New Roman" w:cs="Times New Roman"/>
          <w:sz w:val="24"/>
          <w:szCs w:val="24"/>
        </w:rPr>
        <w:t>o its credit, t</w:t>
      </w:r>
      <w:r w:rsidR="00F64FD9" w:rsidRPr="0042152F">
        <w:rPr>
          <w:rFonts w:ascii="Times New Roman" w:hAnsi="Times New Roman" w:cs="Times New Roman"/>
          <w:sz w:val="24"/>
          <w:szCs w:val="24"/>
        </w:rPr>
        <w:t xml:space="preserve">he </w:t>
      </w:r>
      <w:r w:rsidR="002A706C" w:rsidRPr="0042152F">
        <w:rPr>
          <w:rFonts w:ascii="Times New Roman" w:hAnsi="Times New Roman" w:cs="Times New Roman"/>
          <w:sz w:val="24"/>
          <w:szCs w:val="24"/>
        </w:rPr>
        <w:t xml:space="preserve">Delaware Chancery Court </w:t>
      </w:r>
      <w:r w:rsidR="00866158">
        <w:rPr>
          <w:rFonts w:ascii="Times New Roman" w:hAnsi="Times New Roman" w:cs="Times New Roman"/>
          <w:sz w:val="24"/>
          <w:szCs w:val="24"/>
          <w:lang w:bidi="he-IL"/>
        </w:rPr>
        <w:t>recognized that it</w:t>
      </w:r>
      <w:r w:rsidR="00AB4D89" w:rsidRPr="0042152F">
        <w:rPr>
          <w:rFonts w:ascii="Times New Roman" w:hAnsi="Times New Roman" w:cs="Times New Roman"/>
          <w:sz w:val="24"/>
          <w:szCs w:val="24"/>
          <w:lang w:bidi="he-IL"/>
        </w:rPr>
        <w:t xml:space="preserve"> </w:t>
      </w:r>
      <w:r w:rsidR="00866158">
        <w:rPr>
          <w:rFonts w:ascii="Times New Roman" w:hAnsi="Times New Roman" w:cs="Times New Roman"/>
          <w:sz w:val="24"/>
          <w:szCs w:val="24"/>
          <w:lang w:bidi="he-IL"/>
        </w:rPr>
        <w:t>needed to</w:t>
      </w:r>
      <w:r w:rsidR="00866158" w:rsidRPr="0042152F">
        <w:rPr>
          <w:rFonts w:ascii="Times New Roman" w:hAnsi="Times New Roman" w:cs="Times New Roman"/>
          <w:sz w:val="24"/>
          <w:szCs w:val="24"/>
          <w:lang w:bidi="he-IL"/>
        </w:rPr>
        <w:t xml:space="preserve"> </w:t>
      </w:r>
      <w:r w:rsidR="00AB4D89" w:rsidRPr="0042152F">
        <w:rPr>
          <w:rFonts w:ascii="Times New Roman" w:hAnsi="Times New Roman" w:cs="Times New Roman"/>
          <w:sz w:val="24"/>
          <w:szCs w:val="24"/>
          <w:lang w:bidi="he-IL"/>
        </w:rPr>
        <w:t xml:space="preserve">evaluate </w:t>
      </w:r>
      <w:r w:rsidR="00866158">
        <w:rPr>
          <w:rFonts w:ascii="Times New Roman" w:hAnsi="Times New Roman" w:cs="Times New Roman"/>
          <w:sz w:val="24"/>
          <w:szCs w:val="24"/>
          <w:lang w:bidi="he-IL"/>
        </w:rPr>
        <w:t xml:space="preserve">these </w:t>
      </w:r>
      <w:r w:rsidR="00AB4D89" w:rsidRPr="0042152F">
        <w:rPr>
          <w:rFonts w:ascii="Times New Roman" w:hAnsi="Times New Roman" w:cs="Times New Roman"/>
          <w:sz w:val="24"/>
          <w:szCs w:val="24"/>
          <w:lang w:bidi="he-IL"/>
        </w:rPr>
        <w:t>synergies in light of Musk’s vision for the company and</w:t>
      </w:r>
      <w:r w:rsidR="00AB4D89" w:rsidRPr="0042152F">
        <w:rPr>
          <w:rFonts w:ascii="Times New Roman" w:hAnsi="Times New Roman" w:cs="Times New Roman"/>
          <w:sz w:val="24"/>
          <w:szCs w:val="24"/>
        </w:rPr>
        <w:t xml:space="preserve"> that this </w:t>
      </w:r>
      <w:r w:rsidR="00245A21" w:rsidRPr="0042152F">
        <w:rPr>
          <w:rFonts w:ascii="Times New Roman" w:hAnsi="Times New Roman" w:cs="Times New Roman"/>
          <w:sz w:val="24"/>
          <w:szCs w:val="24"/>
        </w:rPr>
        <w:t xml:space="preserve">task </w:t>
      </w:r>
      <w:r w:rsidR="00AB4D89" w:rsidRPr="0042152F">
        <w:rPr>
          <w:rFonts w:ascii="Times New Roman" w:hAnsi="Times New Roman" w:cs="Times New Roman"/>
          <w:sz w:val="24"/>
          <w:szCs w:val="24"/>
        </w:rPr>
        <w:t>would be exceedingly difficult.</w:t>
      </w:r>
      <w:r w:rsidR="00AB4D89" w:rsidRPr="0042152F">
        <w:rPr>
          <w:rStyle w:val="FootnoteReference"/>
          <w:rFonts w:ascii="Times New Roman" w:hAnsi="Times New Roman" w:cs="Times New Roman"/>
          <w:sz w:val="24"/>
          <w:szCs w:val="24"/>
        </w:rPr>
        <w:footnoteReference w:id="219"/>
      </w:r>
      <w:r w:rsidR="009367A8" w:rsidRPr="0042152F">
        <w:rPr>
          <w:rFonts w:ascii="Times New Roman" w:hAnsi="Times New Roman" w:cs="Times New Roman"/>
          <w:sz w:val="24"/>
          <w:szCs w:val="24"/>
          <w:lang w:bidi="he-IL"/>
        </w:rPr>
        <w:t xml:space="preserve"> </w:t>
      </w:r>
      <w:r w:rsidR="001771F4" w:rsidRPr="0042152F">
        <w:rPr>
          <w:rFonts w:ascii="Times New Roman" w:hAnsi="Times New Roman" w:cs="Times New Roman"/>
          <w:sz w:val="24"/>
          <w:szCs w:val="24"/>
        </w:rPr>
        <w:t>After considering several indications of value</w:t>
      </w:r>
      <w:r w:rsidR="007B440A" w:rsidRPr="0042152F">
        <w:rPr>
          <w:rFonts w:ascii="Times New Roman" w:hAnsi="Times New Roman" w:cs="Times New Roman"/>
          <w:sz w:val="24"/>
          <w:szCs w:val="24"/>
        </w:rPr>
        <w:t xml:space="preserve">—including </w:t>
      </w:r>
      <w:r w:rsidR="00245A21" w:rsidRPr="0042152F">
        <w:rPr>
          <w:rFonts w:ascii="Times New Roman" w:hAnsi="Times New Roman" w:cs="Times New Roman"/>
          <w:sz w:val="24"/>
          <w:szCs w:val="24"/>
        </w:rPr>
        <w:t xml:space="preserve">SolarCity’s </w:t>
      </w:r>
      <w:r w:rsidR="00C80B58" w:rsidRPr="0042152F">
        <w:rPr>
          <w:rFonts w:ascii="Times New Roman" w:hAnsi="Times New Roman" w:cs="Times New Roman"/>
          <w:sz w:val="24"/>
          <w:szCs w:val="24"/>
        </w:rPr>
        <w:t>market value</w:t>
      </w:r>
      <w:r w:rsidR="007B440A" w:rsidRPr="0042152F">
        <w:rPr>
          <w:rFonts w:ascii="Times New Roman" w:hAnsi="Times New Roman" w:cs="Times New Roman"/>
          <w:sz w:val="24"/>
          <w:szCs w:val="24"/>
        </w:rPr>
        <w:t xml:space="preserve"> and shareholder approval of the transaction</w:t>
      </w:r>
      <w:r w:rsidR="001771F4" w:rsidRPr="0042152F">
        <w:rPr>
          <w:rFonts w:ascii="Times New Roman" w:hAnsi="Times New Roman" w:cs="Times New Roman"/>
          <w:sz w:val="24"/>
          <w:szCs w:val="24"/>
        </w:rPr>
        <w:t>,</w:t>
      </w:r>
      <w:r w:rsidR="0041444A" w:rsidRPr="0042152F">
        <w:rPr>
          <w:rStyle w:val="FootnoteReference"/>
          <w:rFonts w:ascii="Times New Roman" w:hAnsi="Times New Roman" w:cs="Times New Roman"/>
          <w:sz w:val="24"/>
          <w:szCs w:val="24"/>
        </w:rPr>
        <w:footnoteReference w:id="220"/>
      </w:r>
      <w:r w:rsidR="001771F4" w:rsidRPr="0042152F">
        <w:rPr>
          <w:rFonts w:ascii="Times New Roman" w:hAnsi="Times New Roman" w:cs="Times New Roman"/>
          <w:sz w:val="24"/>
          <w:szCs w:val="24"/>
        </w:rPr>
        <w:t xml:space="preserve"> </w:t>
      </w:r>
      <w:r w:rsidR="00445386" w:rsidRPr="0042152F">
        <w:rPr>
          <w:rFonts w:ascii="Times New Roman" w:hAnsi="Times New Roman" w:cs="Times New Roman"/>
          <w:sz w:val="24"/>
          <w:szCs w:val="24"/>
        </w:rPr>
        <w:t>the court concluded that the price paid was fair</w:t>
      </w:r>
      <w:r w:rsidR="00EE6A8C" w:rsidRPr="0042152F">
        <w:rPr>
          <w:rFonts w:ascii="Times New Roman" w:hAnsi="Times New Roman" w:cs="Times New Roman"/>
          <w:sz w:val="24"/>
          <w:szCs w:val="24"/>
        </w:rPr>
        <w:t>.</w:t>
      </w:r>
      <w:r w:rsidR="00AB4D89" w:rsidRPr="0042152F">
        <w:rPr>
          <w:rStyle w:val="FootnoteReference"/>
          <w:rFonts w:ascii="Times New Roman" w:hAnsi="Times New Roman" w:cs="Times New Roman"/>
          <w:sz w:val="24"/>
          <w:szCs w:val="24"/>
        </w:rPr>
        <w:footnoteReference w:id="221"/>
      </w:r>
      <w:r w:rsidR="00445386" w:rsidRPr="0042152F">
        <w:rPr>
          <w:rFonts w:ascii="Times New Roman" w:hAnsi="Times New Roman" w:cs="Times New Roman"/>
          <w:sz w:val="24"/>
          <w:szCs w:val="24"/>
        </w:rPr>
        <w:t xml:space="preserve"> </w:t>
      </w:r>
    </w:p>
    <w:p w14:paraId="1BB0EA79" w14:textId="16F8BA3D" w:rsidR="001A438A" w:rsidRPr="0042152F" w:rsidRDefault="009F3B38"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Interestingly</w:t>
      </w:r>
      <w:r w:rsidR="009367A8" w:rsidRPr="0042152F">
        <w:rPr>
          <w:rFonts w:ascii="Times New Roman" w:hAnsi="Times New Roman" w:cs="Times New Roman"/>
          <w:sz w:val="24"/>
          <w:szCs w:val="24"/>
        </w:rPr>
        <w:t xml:space="preserve">, the </w:t>
      </w:r>
      <w:r w:rsidR="00C04DD1" w:rsidRPr="0042152F">
        <w:rPr>
          <w:rFonts w:ascii="Times New Roman" w:hAnsi="Times New Roman" w:cs="Times New Roman"/>
          <w:sz w:val="24"/>
          <w:szCs w:val="24"/>
        </w:rPr>
        <w:t>court admitted that</w:t>
      </w:r>
      <w:r w:rsidR="00C80B58" w:rsidRPr="0042152F">
        <w:rPr>
          <w:rFonts w:ascii="Times New Roman" w:hAnsi="Times New Roman" w:cs="Times New Roman"/>
          <w:sz w:val="24"/>
          <w:szCs w:val="24"/>
        </w:rPr>
        <w:t>, given the difficulty of valuing Musk’s vision,</w:t>
      </w:r>
      <w:r w:rsidR="00C04DD1" w:rsidRPr="0042152F">
        <w:rPr>
          <w:rFonts w:ascii="Times New Roman" w:hAnsi="Times New Roman" w:cs="Times New Roman"/>
          <w:sz w:val="24"/>
          <w:szCs w:val="24"/>
        </w:rPr>
        <w:t xml:space="preserve"> hindsight might have played a role in favor of Musk, stating that: “while the synergistic effects of the Acquisition are still unfolding, the astronomic rise in Tesla’s stock price post-Acquisition is noteworthy.</w:t>
      </w:r>
      <w:r w:rsidR="00496225" w:rsidRPr="0042152F">
        <w:rPr>
          <w:rFonts w:ascii="Times New Roman" w:hAnsi="Times New Roman" w:cs="Times New Roman"/>
          <w:sz w:val="24"/>
          <w:szCs w:val="24"/>
        </w:rPr>
        <w:t>”</w:t>
      </w:r>
      <w:r w:rsidR="00AB4D89" w:rsidRPr="0042152F">
        <w:rPr>
          <w:rStyle w:val="FootnoteReference"/>
          <w:rFonts w:ascii="Times New Roman" w:hAnsi="Times New Roman" w:cs="Times New Roman"/>
          <w:sz w:val="24"/>
          <w:szCs w:val="24"/>
        </w:rPr>
        <w:footnoteReference w:id="222"/>
      </w:r>
      <w:r w:rsidR="00C04DD1" w:rsidRPr="0042152F">
        <w:rPr>
          <w:rFonts w:ascii="Times New Roman" w:hAnsi="Times New Roman" w:cs="Times New Roman"/>
          <w:sz w:val="24"/>
          <w:szCs w:val="24"/>
        </w:rPr>
        <w:t xml:space="preserve"> </w:t>
      </w:r>
      <w:r w:rsidR="00AB4D89" w:rsidRPr="0042152F">
        <w:rPr>
          <w:rFonts w:ascii="Times New Roman" w:hAnsi="Times New Roman" w:cs="Times New Roman"/>
          <w:sz w:val="24"/>
          <w:szCs w:val="24"/>
        </w:rPr>
        <w:t>In other words, a</w:t>
      </w:r>
      <w:r w:rsidR="00C04DD1" w:rsidRPr="0042152F">
        <w:rPr>
          <w:rFonts w:ascii="Times New Roman" w:hAnsi="Times New Roman" w:cs="Times New Roman"/>
          <w:sz w:val="24"/>
          <w:szCs w:val="24"/>
        </w:rPr>
        <w:t xml:space="preserve">lthough the relevant inquiry in an entire fairness analysis is </w:t>
      </w:r>
      <w:r w:rsidR="00C04DD1" w:rsidRPr="0042152F">
        <w:rPr>
          <w:rFonts w:ascii="Times New Roman" w:hAnsi="Times New Roman" w:cs="Times New Roman"/>
          <w:sz w:val="24"/>
          <w:szCs w:val="24"/>
        </w:rPr>
        <w:lastRenderedPageBreak/>
        <w:t>whether the acquisition target was worth the price paid when the deal was consummated,</w:t>
      </w:r>
      <w:bookmarkStart w:id="25" w:name="co_fnRef_B05522056104314_ID0EBSJM_1"/>
      <w:bookmarkEnd w:id="25"/>
      <w:r w:rsidR="00C04DD1" w:rsidRPr="0042152F">
        <w:rPr>
          <w:rFonts w:ascii="Times New Roman" w:hAnsi="Times New Roman" w:cs="Times New Roman"/>
          <w:sz w:val="24"/>
          <w:szCs w:val="24"/>
        </w:rPr>
        <w:t xml:space="preserve"> </w:t>
      </w:r>
      <w:r w:rsidR="00D46132">
        <w:rPr>
          <w:rFonts w:ascii="Times New Roman" w:hAnsi="Times New Roman" w:cs="Times New Roman"/>
          <w:sz w:val="24"/>
          <w:szCs w:val="24"/>
        </w:rPr>
        <w:t xml:space="preserve">the court weighed </w:t>
      </w:r>
      <w:r w:rsidR="003F1144">
        <w:rPr>
          <w:rFonts w:ascii="Times New Roman" w:hAnsi="Times New Roman" w:cs="Times New Roman"/>
          <w:sz w:val="24"/>
          <w:szCs w:val="24"/>
        </w:rPr>
        <w:t xml:space="preserve">current facts </w:t>
      </w:r>
      <w:r w:rsidR="00D46132">
        <w:rPr>
          <w:rFonts w:ascii="Times New Roman" w:hAnsi="Times New Roman" w:cs="Times New Roman"/>
          <w:sz w:val="24"/>
          <w:szCs w:val="24"/>
        </w:rPr>
        <w:t xml:space="preserve">that </w:t>
      </w:r>
      <w:r w:rsidR="006151B6" w:rsidRPr="0042152F">
        <w:rPr>
          <w:rFonts w:ascii="Times New Roman" w:hAnsi="Times New Roman" w:cs="Times New Roman"/>
          <w:sz w:val="24"/>
          <w:szCs w:val="24"/>
        </w:rPr>
        <w:t xml:space="preserve">suggested </w:t>
      </w:r>
      <w:r w:rsidR="00C04DD1" w:rsidRPr="0042152F">
        <w:rPr>
          <w:rFonts w:ascii="Times New Roman" w:hAnsi="Times New Roman" w:cs="Times New Roman"/>
          <w:sz w:val="24"/>
          <w:szCs w:val="24"/>
        </w:rPr>
        <w:t xml:space="preserve">that </w:t>
      </w:r>
      <w:r w:rsidR="003A4763" w:rsidRPr="0042152F">
        <w:rPr>
          <w:rFonts w:ascii="Times New Roman" w:hAnsi="Times New Roman" w:cs="Times New Roman"/>
          <w:sz w:val="24"/>
          <w:szCs w:val="24"/>
        </w:rPr>
        <w:t xml:space="preserve">Musk </w:t>
      </w:r>
      <w:r w:rsidR="006151B6" w:rsidRPr="0042152F">
        <w:rPr>
          <w:rFonts w:ascii="Times New Roman" w:hAnsi="Times New Roman" w:cs="Times New Roman"/>
          <w:sz w:val="24"/>
          <w:szCs w:val="24"/>
        </w:rPr>
        <w:t xml:space="preserve">was </w:t>
      </w:r>
      <w:r w:rsidR="00C04DD1" w:rsidRPr="0042152F">
        <w:rPr>
          <w:rFonts w:ascii="Times New Roman" w:hAnsi="Times New Roman" w:cs="Times New Roman"/>
          <w:sz w:val="24"/>
          <w:szCs w:val="24"/>
        </w:rPr>
        <w:t>right</w:t>
      </w:r>
      <w:r w:rsidR="0021602E" w:rsidRPr="0042152F">
        <w:rPr>
          <w:rFonts w:ascii="Times New Roman" w:hAnsi="Times New Roman" w:cs="Times New Roman"/>
          <w:sz w:val="24"/>
          <w:szCs w:val="24"/>
        </w:rPr>
        <w:t xml:space="preserve"> about the acquisition</w:t>
      </w:r>
      <w:r w:rsidR="00AB4D89" w:rsidRPr="0042152F">
        <w:rPr>
          <w:rFonts w:ascii="Times New Roman" w:hAnsi="Times New Roman" w:cs="Times New Roman"/>
          <w:sz w:val="24"/>
          <w:szCs w:val="24"/>
        </w:rPr>
        <w:t xml:space="preserve">. </w:t>
      </w:r>
      <w:r w:rsidR="002B7B7F">
        <w:rPr>
          <w:rFonts w:ascii="Times New Roman" w:hAnsi="Times New Roman" w:cs="Times New Roman"/>
          <w:sz w:val="24"/>
          <w:szCs w:val="24"/>
        </w:rPr>
        <w:t>At the time of the trial, T</w:t>
      </w:r>
      <w:r w:rsidR="00AB4D89" w:rsidRPr="0042152F">
        <w:rPr>
          <w:rFonts w:ascii="Times New Roman" w:hAnsi="Times New Roman" w:cs="Times New Roman"/>
          <w:sz w:val="24"/>
          <w:szCs w:val="24"/>
        </w:rPr>
        <w:t xml:space="preserve">esla was no longer valued as a car company, but as a </w:t>
      </w:r>
      <w:r w:rsidR="00C04DD1" w:rsidRPr="0042152F">
        <w:rPr>
          <w:rFonts w:ascii="Times New Roman" w:hAnsi="Times New Roman" w:cs="Times New Roman"/>
          <w:sz w:val="24"/>
          <w:szCs w:val="24"/>
        </w:rPr>
        <w:t>“a first-of-its-kind, vertically integrated clean energy company</w:t>
      </w:r>
      <w:r w:rsidR="00AB4D89" w:rsidRPr="0042152F">
        <w:rPr>
          <w:rFonts w:ascii="Times New Roman" w:hAnsi="Times New Roman" w:cs="Times New Roman"/>
          <w:sz w:val="24"/>
          <w:szCs w:val="24"/>
        </w:rPr>
        <w:t>.</w:t>
      </w:r>
      <w:r w:rsidR="006151B6" w:rsidRPr="0042152F">
        <w:rPr>
          <w:rFonts w:ascii="Times New Roman" w:hAnsi="Times New Roman" w:cs="Times New Roman"/>
          <w:sz w:val="24"/>
          <w:szCs w:val="24"/>
        </w:rPr>
        <w:t>”</w:t>
      </w:r>
      <w:r w:rsidR="006151B6" w:rsidRPr="0042152F">
        <w:rPr>
          <w:rStyle w:val="FootnoteReference"/>
          <w:rFonts w:ascii="Times New Roman" w:hAnsi="Times New Roman" w:cs="Times New Roman"/>
          <w:sz w:val="24"/>
          <w:szCs w:val="24"/>
        </w:rPr>
        <w:footnoteReference w:id="223"/>
      </w:r>
      <w:bookmarkStart w:id="26" w:name="co_fnRef_B05532056104314_ID0EPSJM_1"/>
      <w:bookmarkEnd w:id="26"/>
      <w:r w:rsidR="00C04DD1" w:rsidRPr="0042152F">
        <w:rPr>
          <w:rFonts w:ascii="Times New Roman" w:hAnsi="Times New Roman" w:cs="Times New Roman"/>
          <w:sz w:val="24"/>
          <w:szCs w:val="24"/>
        </w:rPr>
        <w:t xml:space="preserve"> Whether the </w:t>
      </w:r>
      <w:r w:rsidR="00AB4D89" w:rsidRPr="0042152F">
        <w:rPr>
          <w:rFonts w:ascii="Times New Roman" w:hAnsi="Times New Roman" w:cs="Times New Roman"/>
          <w:sz w:val="24"/>
          <w:szCs w:val="24"/>
        </w:rPr>
        <w:t>a</w:t>
      </w:r>
      <w:r w:rsidR="00C04DD1" w:rsidRPr="0042152F">
        <w:rPr>
          <w:rFonts w:ascii="Times New Roman" w:hAnsi="Times New Roman" w:cs="Times New Roman"/>
          <w:sz w:val="24"/>
          <w:szCs w:val="24"/>
        </w:rPr>
        <w:t xml:space="preserve">cquisition played a large or small part in Tesla’s impressive growth is not clear, but </w:t>
      </w:r>
      <w:r w:rsidR="00AB4D89" w:rsidRPr="0042152F">
        <w:rPr>
          <w:rFonts w:ascii="Times New Roman" w:hAnsi="Times New Roman" w:cs="Times New Roman"/>
          <w:sz w:val="24"/>
          <w:szCs w:val="24"/>
        </w:rPr>
        <w:t>it certainly</w:t>
      </w:r>
      <w:r w:rsidR="00C04DD1" w:rsidRPr="0042152F">
        <w:rPr>
          <w:rFonts w:ascii="Times New Roman" w:hAnsi="Times New Roman" w:cs="Times New Roman"/>
          <w:sz w:val="24"/>
          <w:szCs w:val="24"/>
        </w:rPr>
        <w:t xml:space="preserve"> allowed Tesla to become what it ha</w:t>
      </w:r>
      <w:r w:rsidR="0021602E" w:rsidRPr="0042152F">
        <w:rPr>
          <w:rFonts w:ascii="Times New Roman" w:hAnsi="Times New Roman" w:cs="Times New Roman"/>
          <w:sz w:val="24"/>
          <w:szCs w:val="24"/>
        </w:rPr>
        <w:t>d</w:t>
      </w:r>
      <w:r w:rsidR="00C04DD1" w:rsidRPr="0042152F">
        <w:rPr>
          <w:rFonts w:ascii="Times New Roman" w:hAnsi="Times New Roman" w:cs="Times New Roman"/>
          <w:sz w:val="24"/>
          <w:szCs w:val="24"/>
        </w:rPr>
        <w:t xml:space="preserve"> </w:t>
      </w:r>
      <w:r w:rsidR="006151B6" w:rsidRPr="0042152F">
        <w:rPr>
          <w:rFonts w:ascii="Times New Roman" w:hAnsi="Times New Roman" w:cs="Times New Roman"/>
          <w:sz w:val="24"/>
          <w:szCs w:val="24"/>
        </w:rPr>
        <w:t>long</w:t>
      </w:r>
      <w:r w:rsidR="00C04DD1" w:rsidRPr="0042152F">
        <w:rPr>
          <w:rFonts w:ascii="Times New Roman" w:hAnsi="Times New Roman" w:cs="Times New Roman"/>
          <w:sz w:val="24"/>
          <w:szCs w:val="24"/>
        </w:rPr>
        <w:t xml:space="preserve"> told the market it strives to be—an agent of change that will “accelerate the world’s transition to sustainable energy” by “help[</w:t>
      </w:r>
      <w:proofErr w:type="spellStart"/>
      <w:r w:rsidR="00C04DD1" w:rsidRPr="0042152F">
        <w:rPr>
          <w:rFonts w:ascii="Times New Roman" w:hAnsi="Times New Roman" w:cs="Times New Roman"/>
          <w:sz w:val="24"/>
          <w:szCs w:val="24"/>
        </w:rPr>
        <w:t>ing</w:t>
      </w:r>
      <w:proofErr w:type="spellEnd"/>
      <w:r w:rsidR="00C04DD1" w:rsidRPr="0042152F">
        <w:rPr>
          <w:rFonts w:ascii="Times New Roman" w:hAnsi="Times New Roman" w:cs="Times New Roman"/>
          <w:sz w:val="24"/>
          <w:szCs w:val="24"/>
        </w:rPr>
        <w:t>] to expedite the move from a mine-and-burn hydrocarbon economy towards a solar electric economy.</w:t>
      </w:r>
      <w:r w:rsidR="00304CD4" w:rsidRPr="0042152F">
        <w:rPr>
          <w:rFonts w:ascii="Times New Roman" w:hAnsi="Times New Roman" w:cs="Times New Roman"/>
          <w:sz w:val="24"/>
          <w:szCs w:val="24"/>
        </w:rPr>
        <w:t>”</w:t>
      </w:r>
      <w:r w:rsidR="00304CD4" w:rsidRPr="0042152F">
        <w:rPr>
          <w:rStyle w:val="FootnoteReference"/>
          <w:rFonts w:ascii="Times New Roman" w:hAnsi="Times New Roman" w:cs="Times New Roman"/>
          <w:sz w:val="24"/>
          <w:szCs w:val="24"/>
        </w:rPr>
        <w:footnoteReference w:id="224"/>
      </w:r>
      <w:r w:rsidRPr="0042152F">
        <w:rPr>
          <w:rFonts w:ascii="Times New Roman" w:hAnsi="Times New Roman" w:cs="Times New Roman"/>
          <w:sz w:val="24"/>
          <w:szCs w:val="24"/>
        </w:rPr>
        <w:t xml:space="preserve"> </w:t>
      </w:r>
    </w:p>
    <w:p w14:paraId="54B737B9" w14:textId="76F2C281" w:rsidR="00D916A0" w:rsidRPr="0042152F" w:rsidRDefault="0047777E"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Simply put, </w:t>
      </w:r>
      <w:r w:rsidR="00F64FD9" w:rsidRPr="0042152F">
        <w:rPr>
          <w:rFonts w:ascii="Times New Roman" w:hAnsi="Times New Roman" w:cs="Times New Roman"/>
          <w:sz w:val="24"/>
          <w:szCs w:val="24"/>
        </w:rPr>
        <w:t xml:space="preserve">Musk was able to convince shareholders that his vision for the company would generate significant growth—a vision that included the acquisition of SolarCity. This belief could not be backed up with hard evidence at the time. Only </w:t>
      </w:r>
      <w:r w:rsidR="001A438A" w:rsidRPr="0042152F">
        <w:rPr>
          <w:rFonts w:ascii="Times New Roman" w:hAnsi="Times New Roman" w:cs="Times New Roman"/>
          <w:sz w:val="24"/>
          <w:szCs w:val="24"/>
        </w:rPr>
        <w:t>after</w:t>
      </w:r>
      <w:r w:rsidR="00F64FD9" w:rsidRPr="0042152F">
        <w:rPr>
          <w:rFonts w:ascii="Times New Roman" w:hAnsi="Times New Roman" w:cs="Times New Roman"/>
          <w:sz w:val="24"/>
          <w:szCs w:val="24"/>
        </w:rPr>
        <w:t xml:space="preserve"> several years had passed</w:t>
      </w:r>
      <w:r w:rsidR="002B7B7F">
        <w:rPr>
          <w:rFonts w:ascii="Times New Roman" w:hAnsi="Times New Roman" w:cs="Times New Roman"/>
          <w:sz w:val="24"/>
          <w:szCs w:val="24"/>
        </w:rPr>
        <w:t xml:space="preserve"> did </w:t>
      </w:r>
      <w:r w:rsidR="00A54D75">
        <w:rPr>
          <w:rFonts w:ascii="Times New Roman" w:hAnsi="Times New Roman" w:cs="Times New Roman"/>
          <w:sz w:val="24"/>
          <w:szCs w:val="24"/>
        </w:rPr>
        <w:t xml:space="preserve">it become clear </w:t>
      </w:r>
      <w:r w:rsidR="00F64FD9" w:rsidRPr="0042152F">
        <w:rPr>
          <w:rFonts w:ascii="Times New Roman" w:hAnsi="Times New Roman" w:cs="Times New Roman"/>
          <w:sz w:val="24"/>
          <w:szCs w:val="24"/>
        </w:rPr>
        <w:t xml:space="preserve">that Musk’s vision would drive above-market returns. </w:t>
      </w:r>
      <w:r w:rsidRPr="0042152F">
        <w:rPr>
          <w:rFonts w:ascii="Times New Roman" w:hAnsi="Times New Roman" w:cs="Times New Roman"/>
          <w:sz w:val="24"/>
          <w:szCs w:val="24"/>
        </w:rPr>
        <w:t>A</w:t>
      </w:r>
      <w:r w:rsidR="00A54D75">
        <w:rPr>
          <w:rFonts w:ascii="Times New Roman" w:hAnsi="Times New Roman" w:cs="Times New Roman"/>
          <w:sz w:val="24"/>
          <w:szCs w:val="24"/>
        </w:rPr>
        <w:t xml:space="preserve">nd </w:t>
      </w:r>
      <w:r w:rsidRPr="0042152F">
        <w:rPr>
          <w:rFonts w:ascii="Times New Roman" w:hAnsi="Times New Roman" w:cs="Times New Roman"/>
          <w:sz w:val="24"/>
          <w:szCs w:val="24"/>
        </w:rPr>
        <w:t>when the court examined the facts at that later date, it concluded that the transaction was fair to Tesla’s minority shareholders.</w:t>
      </w:r>
    </w:p>
    <w:p w14:paraId="174D0B35" w14:textId="3333C1DE" w:rsidR="00C10912" w:rsidRPr="0042152F" w:rsidRDefault="00155D3A"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But </w:t>
      </w:r>
      <w:r w:rsidR="00D916A0" w:rsidRPr="0042152F">
        <w:rPr>
          <w:rFonts w:ascii="Times New Roman" w:hAnsi="Times New Roman" w:cs="Times New Roman"/>
          <w:sz w:val="24"/>
          <w:szCs w:val="24"/>
        </w:rPr>
        <w:t xml:space="preserve">what if the court </w:t>
      </w:r>
      <w:r w:rsidR="0047777E" w:rsidRPr="0042152F">
        <w:rPr>
          <w:rFonts w:ascii="Times New Roman" w:hAnsi="Times New Roman" w:cs="Times New Roman"/>
          <w:sz w:val="24"/>
          <w:szCs w:val="24"/>
        </w:rPr>
        <w:t>was</w:t>
      </w:r>
      <w:r w:rsidR="006073CD" w:rsidRPr="0042152F">
        <w:rPr>
          <w:rFonts w:ascii="Times New Roman" w:hAnsi="Times New Roman" w:cs="Times New Roman"/>
          <w:sz w:val="24"/>
          <w:szCs w:val="24"/>
        </w:rPr>
        <w:t xml:space="preserve"> </w:t>
      </w:r>
      <w:r w:rsidR="00D916A0" w:rsidRPr="0042152F">
        <w:rPr>
          <w:rFonts w:ascii="Times New Roman" w:hAnsi="Times New Roman" w:cs="Times New Roman"/>
          <w:sz w:val="24"/>
          <w:szCs w:val="24"/>
        </w:rPr>
        <w:t>required to determine the transaction’s fairness on September 2016, when both SolarCity and Tesla appeared to be approaching bankruptcy? As one commentator explained at the time, “Tesla latching on to SolarCity is the equivalent of a shipwrecked man clinging to a piece of driftwood grabbing on to another man without one.”</w:t>
      </w:r>
      <w:r w:rsidR="00D916A0" w:rsidRPr="0042152F">
        <w:rPr>
          <w:rStyle w:val="FootnoteReference"/>
          <w:rFonts w:ascii="Times New Roman" w:hAnsi="Times New Roman" w:cs="Times New Roman"/>
          <w:sz w:val="24"/>
          <w:szCs w:val="24"/>
        </w:rPr>
        <w:footnoteReference w:id="225"/>
      </w:r>
      <w:r w:rsidR="00D916A0" w:rsidRPr="0042152F">
        <w:rPr>
          <w:rFonts w:ascii="Times New Roman" w:hAnsi="Times New Roman" w:cs="Times New Roman"/>
          <w:sz w:val="24"/>
          <w:szCs w:val="24"/>
        </w:rPr>
        <w:t xml:space="preserve"> Without a means of valuing vision, the court would have little to guide it</w:t>
      </w:r>
      <w:r w:rsidR="0047777E" w:rsidRPr="0042152F">
        <w:rPr>
          <w:rFonts w:ascii="Times New Roman" w:hAnsi="Times New Roman" w:cs="Times New Roman"/>
          <w:sz w:val="24"/>
          <w:szCs w:val="24"/>
        </w:rPr>
        <w:t>—and it could have easily reached the opposite conclusion.</w:t>
      </w:r>
    </w:p>
    <w:p w14:paraId="1A5CBFCE" w14:textId="74B54D24" w:rsidR="00325082" w:rsidRPr="0042152F" w:rsidRDefault="006151B6"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In sum, both </w:t>
      </w:r>
      <w:r w:rsidRPr="0042152F">
        <w:rPr>
          <w:rFonts w:ascii="Times New Roman" w:hAnsi="Times New Roman" w:cs="Times New Roman"/>
          <w:i/>
          <w:iCs/>
          <w:sz w:val="24"/>
          <w:szCs w:val="24"/>
        </w:rPr>
        <w:t xml:space="preserve">Tornetta </w:t>
      </w:r>
      <w:r w:rsidRPr="0042152F">
        <w:rPr>
          <w:rFonts w:ascii="Times New Roman" w:hAnsi="Times New Roman" w:cs="Times New Roman"/>
          <w:sz w:val="24"/>
          <w:szCs w:val="24"/>
        </w:rPr>
        <w:t xml:space="preserve">and </w:t>
      </w:r>
      <w:proofErr w:type="gramStart"/>
      <w:r w:rsidRPr="0042152F">
        <w:rPr>
          <w:rFonts w:ascii="Times New Roman" w:hAnsi="Times New Roman" w:cs="Times New Roman"/>
          <w:i/>
          <w:iCs/>
          <w:sz w:val="24"/>
          <w:szCs w:val="24"/>
        </w:rPr>
        <w:t>In</w:t>
      </w:r>
      <w:proofErr w:type="gramEnd"/>
      <w:r w:rsidRPr="0042152F">
        <w:rPr>
          <w:rFonts w:ascii="Times New Roman" w:hAnsi="Times New Roman" w:cs="Times New Roman"/>
          <w:i/>
          <w:iCs/>
          <w:sz w:val="24"/>
          <w:szCs w:val="24"/>
        </w:rPr>
        <w:t xml:space="preserve"> re Tesla </w:t>
      </w:r>
      <w:r w:rsidRPr="0042152F">
        <w:rPr>
          <w:rFonts w:ascii="Times New Roman" w:hAnsi="Times New Roman" w:cs="Times New Roman"/>
          <w:sz w:val="24"/>
          <w:szCs w:val="24"/>
        </w:rPr>
        <w:t xml:space="preserve">reveal the challenges that courts face when determining the fairness of a transaction that involves idiosyncratic vision. They </w:t>
      </w:r>
      <w:r w:rsidR="009417C0" w:rsidRPr="0042152F">
        <w:rPr>
          <w:rFonts w:ascii="Times New Roman" w:hAnsi="Times New Roman" w:cs="Times New Roman"/>
          <w:sz w:val="24"/>
          <w:szCs w:val="24"/>
        </w:rPr>
        <w:t xml:space="preserve">further </w:t>
      </w:r>
      <w:r w:rsidR="00325082" w:rsidRPr="0042152F">
        <w:rPr>
          <w:rFonts w:ascii="Times New Roman" w:hAnsi="Times New Roman" w:cs="Times New Roman"/>
          <w:sz w:val="24"/>
          <w:szCs w:val="24"/>
        </w:rPr>
        <w:t>demonstrate</w:t>
      </w:r>
      <w:r w:rsidRPr="0042152F">
        <w:rPr>
          <w:rFonts w:ascii="Times New Roman" w:hAnsi="Times New Roman" w:cs="Times New Roman"/>
          <w:sz w:val="24"/>
          <w:szCs w:val="24"/>
        </w:rPr>
        <w:t xml:space="preserve"> that although courts are keenly aware of </w:t>
      </w:r>
      <w:r w:rsidR="00EA68BF" w:rsidRPr="0042152F">
        <w:rPr>
          <w:rFonts w:ascii="Times New Roman" w:hAnsi="Times New Roman" w:cs="Times New Roman"/>
          <w:sz w:val="24"/>
          <w:szCs w:val="24"/>
        </w:rPr>
        <w:t>their limits</w:t>
      </w:r>
      <w:r w:rsidRPr="0042152F">
        <w:rPr>
          <w:rFonts w:ascii="Times New Roman" w:hAnsi="Times New Roman" w:cs="Times New Roman"/>
          <w:sz w:val="24"/>
          <w:szCs w:val="24"/>
        </w:rPr>
        <w:t xml:space="preserve">, additional guidance is needed; without it, courts are stuck relying on their own hindsight, comparing the transaction to that of a comparable company, or demanding </w:t>
      </w:r>
      <w:r w:rsidR="00325082" w:rsidRPr="0042152F">
        <w:rPr>
          <w:rFonts w:ascii="Times New Roman" w:hAnsi="Times New Roman" w:cs="Times New Roman"/>
          <w:sz w:val="24"/>
          <w:szCs w:val="24"/>
        </w:rPr>
        <w:t xml:space="preserve">that negotiators </w:t>
      </w:r>
      <w:r w:rsidR="003608B8" w:rsidRPr="0042152F">
        <w:rPr>
          <w:rFonts w:ascii="Times New Roman" w:hAnsi="Times New Roman" w:cs="Times New Roman"/>
          <w:sz w:val="24"/>
          <w:szCs w:val="24"/>
        </w:rPr>
        <w:t>adopt a certain process or style</w:t>
      </w:r>
      <w:r w:rsidRPr="0042152F">
        <w:rPr>
          <w:rFonts w:ascii="Times New Roman" w:hAnsi="Times New Roman" w:cs="Times New Roman"/>
          <w:sz w:val="24"/>
          <w:szCs w:val="24"/>
        </w:rPr>
        <w:t xml:space="preserve">. </w:t>
      </w:r>
    </w:p>
    <w:p w14:paraId="333119C9" w14:textId="6EB18B02" w:rsidR="008F7D5E" w:rsidRPr="0042152F" w:rsidRDefault="00325082" w:rsidP="002E3243">
      <w:pPr>
        <w:spacing w:after="12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G</w:t>
      </w:r>
      <w:r w:rsidR="005D50C7" w:rsidRPr="0042152F">
        <w:rPr>
          <w:rFonts w:ascii="Times New Roman" w:hAnsi="Times New Roman" w:cs="Times New Roman"/>
          <w:sz w:val="24"/>
          <w:szCs w:val="24"/>
        </w:rPr>
        <w:t>etting this legal framework right</w:t>
      </w:r>
      <w:r w:rsidR="00C10912" w:rsidRPr="0042152F">
        <w:rPr>
          <w:rFonts w:ascii="Times New Roman" w:hAnsi="Times New Roman" w:cs="Times New Roman"/>
          <w:sz w:val="24"/>
          <w:szCs w:val="24"/>
        </w:rPr>
        <w:t xml:space="preserve"> is crucially important. Calibrating the legal regime that governs controlling shareholder transactions so that it protects minority shareholders </w:t>
      </w:r>
      <w:r w:rsidR="00BC65EE" w:rsidRPr="0042152F">
        <w:rPr>
          <w:rFonts w:ascii="Times New Roman" w:hAnsi="Times New Roman" w:cs="Times New Roman"/>
          <w:sz w:val="24"/>
          <w:szCs w:val="24"/>
        </w:rPr>
        <w:t>and</w:t>
      </w:r>
      <w:r w:rsidR="00C10912" w:rsidRPr="0042152F">
        <w:rPr>
          <w:rFonts w:ascii="Times New Roman" w:hAnsi="Times New Roman" w:cs="Times New Roman"/>
          <w:sz w:val="24"/>
          <w:szCs w:val="24"/>
        </w:rPr>
        <w:t xml:space="preserve"> also preserv</w:t>
      </w:r>
      <w:r w:rsidR="00BC65EE" w:rsidRPr="0042152F">
        <w:rPr>
          <w:rFonts w:ascii="Times New Roman" w:hAnsi="Times New Roman" w:cs="Times New Roman"/>
          <w:sz w:val="24"/>
          <w:szCs w:val="24"/>
        </w:rPr>
        <w:t>es</w:t>
      </w:r>
      <w:r w:rsidR="00C10912" w:rsidRPr="0042152F">
        <w:rPr>
          <w:rFonts w:ascii="Times New Roman" w:hAnsi="Times New Roman" w:cs="Times New Roman"/>
          <w:sz w:val="24"/>
          <w:szCs w:val="24"/>
        </w:rPr>
        <w:t xml:space="preserve"> incentives for value-increasing transactions is of fundamental importance for economic growth.</w:t>
      </w:r>
      <w:r w:rsidR="00C10912" w:rsidRPr="0042152F">
        <w:rPr>
          <w:rStyle w:val="FootnoteReference"/>
          <w:rFonts w:ascii="Times New Roman" w:hAnsi="Times New Roman" w:cs="Times New Roman"/>
          <w:sz w:val="24"/>
          <w:szCs w:val="24"/>
        </w:rPr>
        <w:footnoteReference w:id="226"/>
      </w:r>
      <w:r w:rsidR="00C10912" w:rsidRPr="0042152F">
        <w:rPr>
          <w:rFonts w:ascii="Times New Roman" w:hAnsi="Times New Roman" w:cs="Times New Roman"/>
          <w:sz w:val="24"/>
          <w:szCs w:val="24"/>
        </w:rPr>
        <w:t xml:space="preserve"> </w:t>
      </w:r>
      <w:r w:rsidR="00BC65EE" w:rsidRPr="0042152F">
        <w:rPr>
          <w:rFonts w:ascii="Times New Roman" w:hAnsi="Times New Roman" w:cs="Times New Roman"/>
          <w:sz w:val="24"/>
          <w:szCs w:val="24"/>
        </w:rPr>
        <w:t xml:space="preserve">As we have shown, the current framework cannot satisfactorily differentiate between </w:t>
      </w:r>
      <w:r w:rsidR="00205279">
        <w:rPr>
          <w:rFonts w:ascii="Times New Roman" w:hAnsi="Times New Roman" w:cs="Times New Roman"/>
          <w:sz w:val="24"/>
          <w:szCs w:val="24"/>
        </w:rPr>
        <w:t>unfair</w:t>
      </w:r>
      <w:r w:rsidR="00BC65EE" w:rsidRPr="0042152F">
        <w:rPr>
          <w:rFonts w:ascii="Times New Roman" w:hAnsi="Times New Roman" w:cs="Times New Roman"/>
          <w:sz w:val="24"/>
          <w:szCs w:val="24"/>
        </w:rPr>
        <w:t xml:space="preserve"> self-dealing and value-increasing transactions in real time. </w:t>
      </w:r>
      <w:r w:rsidR="00C10912" w:rsidRPr="0042152F">
        <w:rPr>
          <w:rFonts w:ascii="Times New Roman" w:hAnsi="Times New Roman" w:cs="Times New Roman"/>
          <w:sz w:val="24"/>
          <w:szCs w:val="24"/>
        </w:rPr>
        <w:t xml:space="preserve">A judicial framework that is so central to Delaware jurisprudence and our economy more broadly must do better. In the next Part, we provide a path forward. </w:t>
      </w:r>
    </w:p>
    <w:p w14:paraId="02DCE3F8" w14:textId="5C7BCB8B" w:rsidR="00F64FD9" w:rsidRPr="0042152F" w:rsidRDefault="0058597D" w:rsidP="00B54C7C">
      <w:pPr>
        <w:pStyle w:val="Heading1"/>
        <w:spacing w:before="0" w:after="0"/>
      </w:pPr>
      <w:bookmarkStart w:id="27" w:name="_Toc181789843"/>
      <w:r w:rsidRPr="0042152F">
        <w:t xml:space="preserve">Framework for Judicial </w:t>
      </w:r>
      <w:r w:rsidR="00DC0F4D" w:rsidRPr="0042152F">
        <w:t>Review</w:t>
      </w:r>
      <w:r w:rsidRPr="0042152F">
        <w:t xml:space="preserve"> and Cleansing when Vision is at Stake</w:t>
      </w:r>
      <w:bookmarkEnd w:id="27"/>
      <w:r w:rsidR="00D40319" w:rsidRPr="0042152F">
        <w:t xml:space="preserve"> </w:t>
      </w:r>
    </w:p>
    <w:p w14:paraId="23E80F80" w14:textId="51517952" w:rsidR="009D3F08" w:rsidRPr="0042152F" w:rsidRDefault="00CB6E40"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952A82">
        <w:rPr>
          <w:rFonts w:ascii="Times New Roman" w:hAnsi="Times New Roman" w:cs="Times New Roman"/>
          <w:i/>
          <w:iCs/>
          <w:sz w:val="24"/>
          <w:szCs w:val="24"/>
        </w:rPr>
        <w:t>MFW</w:t>
      </w:r>
      <w:r>
        <w:rPr>
          <w:rFonts w:ascii="Times New Roman" w:hAnsi="Times New Roman" w:cs="Times New Roman"/>
          <w:sz w:val="24"/>
          <w:szCs w:val="24"/>
        </w:rPr>
        <w:t xml:space="preserve"> framework was designed to avoid the need for judicial review by allowing disinterested shareholders and independent directors to </w:t>
      </w:r>
      <w:r w:rsidR="00FD5BCF">
        <w:rPr>
          <w:rFonts w:ascii="Times New Roman" w:hAnsi="Times New Roman" w:cs="Times New Roman"/>
          <w:sz w:val="24"/>
          <w:szCs w:val="24"/>
        </w:rPr>
        <w:t xml:space="preserve">determine </w:t>
      </w:r>
      <w:r w:rsidR="00BF4093">
        <w:rPr>
          <w:rFonts w:ascii="Times New Roman" w:hAnsi="Times New Roman" w:cs="Times New Roman"/>
          <w:sz w:val="24"/>
          <w:szCs w:val="24"/>
        </w:rPr>
        <w:t xml:space="preserve">whether </w:t>
      </w:r>
      <w:r w:rsidR="0074360A">
        <w:rPr>
          <w:rFonts w:ascii="Times New Roman" w:hAnsi="Times New Roman" w:cs="Times New Roman"/>
          <w:sz w:val="24"/>
          <w:szCs w:val="24"/>
        </w:rPr>
        <w:t>a</w:t>
      </w:r>
      <w:r w:rsidR="00BF4093">
        <w:rPr>
          <w:rFonts w:ascii="Times New Roman" w:hAnsi="Times New Roman" w:cs="Times New Roman"/>
          <w:sz w:val="24"/>
          <w:szCs w:val="24"/>
        </w:rPr>
        <w:t xml:space="preserve"> proposed transaction is fair. As explained </w:t>
      </w:r>
      <w:r w:rsidR="00EC7EA0">
        <w:rPr>
          <w:rFonts w:ascii="Times New Roman" w:hAnsi="Times New Roman" w:cs="Times New Roman"/>
          <w:sz w:val="24"/>
          <w:szCs w:val="24"/>
        </w:rPr>
        <w:t>in Part II</w:t>
      </w:r>
      <w:r w:rsidR="00D246A3">
        <w:rPr>
          <w:rFonts w:ascii="Times New Roman" w:hAnsi="Times New Roman" w:cs="Times New Roman"/>
          <w:sz w:val="24"/>
          <w:szCs w:val="24"/>
        </w:rPr>
        <w:t>,</w:t>
      </w:r>
      <w:r w:rsidR="00483AA1">
        <w:rPr>
          <w:rStyle w:val="FootnoteReference"/>
          <w:rFonts w:ascii="Times New Roman" w:hAnsi="Times New Roman" w:cs="Times New Roman"/>
          <w:sz w:val="24"/>
          <w:szCs w:val="24"/>
        </w:rPr>
        <w:footnoteReference w:id="227"/>
      </w:r>
      <w:r w:rsidR="00D246A3">
        <w:rPr>
          <w:rFonts w:ascii="Times New Roman" w:hAnsi="Times New Roman" w:cs="Times New Roman"/>
          <w:sz w:val="24"/>
          <w:szCs w:val="24"/>
        </w:rPr>
        <w:t xml:space="preserve"> </w:t>
      </w:r>
      <w:r w:rsidR="00D246A3" w:rsidRPr="0042152F">
        <w:rPr>
          <w:rFonts w:ascii="Times New Roman" w:hAnsi="Times New Roman" w:cs="Times New Roman"/>
          <w:sz w:val="24"/>
          <w:szCs w:val="24"/>
        </w:rPr>
        <w:t xml:space="preserve">the </w:t>
      </w:r>
      <w:r w:rsidR="008B6780">
        <w:rPr>
          <w:rFonts w:ascii="Times New Roman" w:hAnsi="Times New Roman" w:cs="Times New Roman"/>
          <w:sz w:val="24"/>
          <w:szCs w:val="24"/>
        </w:rPr>
        <w:t xml:space="preserve">requirements underlying this </w:t>
      </w:r>
      <w:r w:rsidR="00D246A3" w:rsidRPr="0042152F">
        <w:rPr>
          <w:rFonts w:ascii="Times New Roman" w:hAnsi="Times New Roman" w:cs="Times New Roman"/>
          <w:sz w:val="24"/>
          <w:szCs w:val="24"/>
        </w:rPr>
        <w:t xml:space="preserve">framework </w:t>
      </w:r>
      <w:r w:rsidR="00D246A3">
        <w:rPr>
          <w:rFonts w:ascii="Times New Roman" w:hAnsi="Times New Roman" w:cs="Times New Roman"/>
          <w:sz w:val="24"/>
          <w:szCs w:val="24"/>
        </w:rPr>
        <w:t xml:space="preserve">do </w:t>
      </w:r>
      <w:r w:rsidR="00483AA1">
        <w:rPr>
          <w:rFonts w:ascii="Times New Roman" w:hAnsi="Times New Roman" w:cs="Times New Roman"/>
          <w:sz w:val="24"/>
          <w:szCs w:val="24"/>
        </w:rPr>
        <w:t xml:space="preserve">not accord proper weight to </w:t>
      </w:r>
      <w:r w:rsidR="008B6780">
        <w:rPr>
          <w:rFonts w:ascii="Times New Roman" w:hAnsi="Times New Roman" w:cs="Times New Roman"/>
          <w:sz w:val="24"/>
          <w:szCs w:val="24"/>
        </w:rPr>
        <w:t xml:space="preserve">disinterested </w:t>
      </w:r>
      <w:r w:rsidR="00D359F9">
        <w:rPr>
          <w:rFonts w:ascii="Times New Roman" w:hAnsi="Times New Roman" w:cs="Times New Roman"/>
          <w:sz w:val="24"/>
          <w:szCs w:val="24"/>
        </w:rPr>
        <w:t xml:space="preserve">shareholders’ views and </w:t>
      </w:r>
      <w:r w:rsidR="00561252">
        <w:rPr>
          <w:rFonts w:ascii="Times New Roman" w:hAnsi="Times New Roman" w:cs="Times New Roman"/>
          <w:sz w:val="24"/>
          <w:szCs w:val="24"/>
        </w:rPr>
        <w:t xml:space="preserve">too often </w:t>
      </w:r>
      <w:r w:rsidR="00B41252">
        <w:rPr>
          <w:rFonts w:ascii="Times New Roman" w:hAnsi="Times New Roman" w:cs="Times New Roman"/>
          <w:sz w:val="24"/>
          <w:szCs w:val="24"/>
        </w:rPr>
        <w:t xml:space="preserve">lead to the failure of the </w:t>
      </w:r>
      <w:r w:rsidR="00B41252" w:rsidRPr="00952A82">
        <w:rPr>
          <w:rFonts w:ascii="Times New Roman" w:hAnsi="Times New Roman" w:cs="Times New Roman"/>
          <w:i/>
          <w:iCs/>
          <w:sz w:val="24"/>
          <w:szCs w:val="24"/>
        </w:rPr>
        <w:t>MFW</w:t>
      </w:r>
      <w:r w:rsidR="00B41252">
        <w:rPr>
          <w:rFonts w:ascii="Times New Roman" w:hAnsi="Times New Roman" w:cs="Times New Roman"/>
          <w:sz w:val="24"/>
          <w:szCs w:val="24"/>
        </w:rPr>
        <w:t xml:space="preserve"> conditions. </w:t>
      </w:r>
      <w:r w:rsidR="00480EBE">
        <w:rPr>
          <w:rFonts w:ascii="Times New Roman" w:hAnsi="Times New Roman" w:cs="Times New Roman"/>
          <w:sz w:val="24"/>
          <w:szCs w:val="24"/>
        </w:rPr>
        <w:t xml:space="preserve">While </w:t>
      </w:r>
      <w:r w:rsidR="00EC7EA0">
        <w:rPr>
          <w:rFonts w:ascii="Times New Roman" w:hAnsi="Times New Roman" w:cs="Times New Roman"/>
          <w:sz w:val="24"/>
          <w:szCs w:val="24"/>
        </w:rPr>
        <w:t xml:space="preserve">these flaws </w:t>
      </w:r>
      <w:r w:rsidR="00480EBE">
        <w:rPr>
          <w:rFonts w:ascii="Times New Roman" w:hAnsi="Times New Roman" w:cs="Times New Roman"/>
          <w:sz w:val="24"/>
          <w:szCs w:val="24"/>
        </w:rPr>
        <w:t>affect controller transaction</w:t>
      </w:r>
      <w:r w:rsidR="00C33067">
        <w:rPr>
          <w:rFonts w:ascii="Times New Roman" w:hAnsi="Times New Roman" w:cs="Times New Roman"/>
          <w:sz w:val="24"/>
          <w:szCs w:val="24"/>
        </w:rPr>
        <w:t>s</w:t>
      </w:r>
      <w:r w:rsidR="00480EBE">
        <w:rPr>
          <w:rFonts w:ascii="Times New Roman" w:hAnsi="Times New Roman" w:cs="Times New Roman"/>
          <w:sz w:val="24"/>
          <w:szCs w:val="24"/>
        </w:rPr>
        <w:t xml:space="preserve"> of all stripes, </w:t>
      </w:r>
      <w:r w:rsidR="00EC7EA0">
        <w:rPr>
          <w:rFonts w:ascii="Times New Roman" w:hAnsi="Times New Roman" w:cs="Times New Roman"/>
          <w:sz w:val="24"/>
          <w:szCs w:val="24"/>
        </w:rPr>
        <w:t>they are</w:t>
      </w:r>
      <w:r w:rsidR="003C1862">
        <w:rPr>
          <w:rFonts w:ascii="Times New Roman" w:hAnsi="Times New Roman" w:cs="Times New Roman"/>
          <w:sz w:val="24"/>
          <w:szCs w:val="24"/>
        </w:rPr>
        <w:t xml:space="preserve"> especially troubling for those </w:t>
      </w:r>
      <w:r w:rsidR="009E6D25">
        <w:rPr>
          <w:rFonts w:ascii="Times New Roman" w:hAnsi="Times New Roman" w:cs="Times New Roman"/>
          <w:sz w:val="24"/>
          <w:szCs w:val="24"/>
        </w:rPr>
        <w:t>self-dealing</w:t>
      </w:r>
      <w:r w:rsidR="003C1862">
        <w:rPr>
          <w:rFonts w:ascii="Times New Roman" w:hAnsi="Times New Roman" w:cs="Times New Roman"/>
          <w:sz w:val="24"/>
          <w:szCs w:val="24"/>
        </w:rPr>
        <w:t xml:space="preserve"> transactions</w:t>
      </w:r>
      <w:r w:rsidR="009E6D25">
        <w:rPr>
          <w:rFonts w:ascii="Times New Roman" w:hAnsi="Times New Roman" w:cs="Times New Roman"/>
          <w:sz w:val="24"/>
          <w:szCs w:val="24"/>
        </w:rPr>
        <w:t>, like compensation,</w:t>
      </w:r>
      <w:r w:rsidR="003C1862">
        <w:rPr>
          <w:rFonts w:ascii="Times New Roman" w:hAnsi="Times New Roman" w:cs="Times New Roman"/>
          <w:sz w:val="24"/>
          <w:szCs w:val="24"/>
        </w:rPr>
        <w:t xml:space="preserve"> </w:t>
      </w:r>
      <w:r w:rsidR="009E6D25">
        <w:rPr>
          <w:rFonts w:ascii="Times New Roman" w:hAnsi="Times New Roman" w:cs="Times New Roman"/>
          <w:sz w:val="24"/>
          <w:szCs w:val="24"/>
        </w:rPr>
        <w:t xml:space="preserve">that involve the controller’s vision. </w:t>
      </w:r>
    </w:p>
    <w:p w14:paraId="22D362EF" w14:textId="5AEE3CCA" w:rsidR="00352C80" w:rsidRDefault="003720CB"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This Part discusses our </w:t>
      </w:r>
      <w:r w:rsidR="00EC7EA0">
        <w:rPr>
          <w:rFonts w:ascii="Times New Roman" w:hAnsi="Times New Roman" w:cs="Times New Roman"/>
          <w:sz w:val="24"/>
          <w:szCs w:val="24"/>
        </w:rPr>
        <w:t>proposals to</w:t>
      </w:r>
      <w:r w:rsidR="005D7BDF" w:rsidRPr="0042152F">
        <w:rPr>
          <w:rFonts w:ascii="Times New Roman" w:hAnsi="Times New Roman" w:cs="Times New Roman"/>
          <w:sz w:val="24"/>
          <w:szCs w:val="24"/>
        </w:rPr>
        <w:t xml:space="preserve"> </w:t>
      </w:r>
      <w:r w:rsidR="00C44C0C" w:rsidRPr="0042152F">
        <w:rPr>
          <w:rFonts w:ascii="Times New Roman" w:hAnsi="Times New Roman" w:cs="Times New Roman"/>
          <w:sz w:val="24"/>
          <w:szCs w:val="24"/>
        </w:rPr>
        <w:t>address the</w:t>
      </w:r>
      <w:r w:rsidR="009513D8">
        <w:rPr>
          <w:rFonts w:ascii="Times New Roman" w:hAnsi="Times New Roman" w:cs="Times New Roman"/>
          <w:sz w:val="24"/>
          <w:szCs w:val="24"/>
        </w:rPr>
        <w:t>se</w:t>
      </w:r>
      <w:r w:rsidR="00C44C0C" w:rsidRPr="0042152F">
        <w:rPr>
          <w:rFonts w:ascii="Times New Roman" w:hAnsi="Times New Roman" w:cs="Times New Roman"/>
          <w:sz w:val="24"/>
          <w:szCs w:val="24"/>
        </w:rPr>
        <w:t xml:space="preserve"> challenges</w:t>
      </w:r>
      <w:r w:rsidR="00003265" w:rsidRPr="0042152F">
        <w:rPr>
          <w:rFonts w:ascii="Times New Roman" w:hAnsi="Times New Roman" w:cs="Times New Roman"/>
          <w:sz w:val="24"/>
          <w:szCs w:val="24"/>
        </w:rPr>
        <w:t xml:space="preserve">. </w:t>
      </w:r>
      <w:r w:rsidR="00352C80" w:rsidRPr="0042152F">
        <w:rPr>
          <w:rFonts w:ascii="Times New Roman" w:hAnsi="Times New Roman" w:cs="Times New Roman"/>
          <w:sz w:val="24"/>
          <w:szCs w:val="24"/>
        </w:rPr>
        <w:t>Our modified regime</w:t>
      </w:r>
      <w:r w:rsidR="0082013E" w:rsidRPr="0042152F">
        <w:rPr>
          <w:rFonts w:ascii="Times New Roman" w:hAnsi="Times New Roman" w:cs="Times New Roman"/>
          <w:sz w:val="24"/>
          <w:szCs w:val="24"/>
        </w:rPr>
        <w:t xml:space="preserve"> </w:t>
      </w:r>
      <w:r w:rsidR="007D0CFD" w:rsidRPr="0042152F">
        <w:rPr>
          <w:rFonts w:ascii="Times New Roman" w:hAnsi="Times New Roman" w:cs="Times New Roman"/>
          <w:sz w:val="24"/>
          <w:szCs w:val="24"/>
        </w:rPr>
        <w:t xml:space="preserve">distinguishes between </w:t>
      </w:r>
      <w:r w:rsidR="002F185C" w:rsidRPr="0042152F">
        <w:rPr>
          <w:rFonts w:ascii="Times New Roman" w:hAnsi="Times New Roman" w:cs="Times New Roman"/>
          <w:sz w:val="24"/>
          <w:szCs w:val="24"/>
        </w:rPr>
        <w:t xml:space="preserve">cleansing under </w:t>
      </w:r>
      <w:r w:rsidRPr="0042152F">
        <w:rPr>
          <w:rFonts w:ascii="Times New Roman" w:hAnsi="Times New Roman" w:cs="Times New Roman"/>
          <w:i/>
          <w:iCs/>
          <w:sz w:val="24"/>
          <w:szCs w:val="24"/>
        </w:rPr>
        <w:t>MFW</w:t>
      </w:r>
      <w:r w:rsidR="007D0CFD" w:rsidRPr="0042152F">
        <w:rPr>
          <w:rFonts w:ascii="Times New Roman" w:hAnsi="Times New Roman" w:cs="Times New Roman"/>
          <w:sz w:val="24"/>
          <w:szCs w:val="24"/>
        </w:rPr>
        <w:t xml:space="preserve"> and entire fairness </w:t>
      </w:r>
      <w:r w:rsidR="0023733C" w:rsidRPr="0042152F">
        <w:rPr>
          <w:rFonts w:ascii="Times New Roman" w:hAnsi="Times New Roman" w:cs="Times New Roman"/>
          <w:sz w:val="24"/>
          <w:szCs w:val="24"/>
        </w:rPr>
        <w:t>review</w:t>
      </w:r>
      <w:r w:rsidR="007D0CFD" w:rsidRPr="0042152F">
        <w:rPr>
          <w:rFonts w:ascii="Times New Roman" w:hAnsi="Times New Roman" w:cs="Times New Roman"/>
          <w:sz w:val="24"/>
          <w:szCs w:val="24"/>
        </w:rPr>
        <w:t xml:space="preserve"> when cleansing fails. </w:t>
      </w:r>
      <w:r w:rsidR="00307B0A" w:rsidRPr="0042152F">
        <w:rPr>
          <w:rFonts w:ascii="Times New Roman" w:hAnsi="Times New Roman" w:cs="Times New Roman"/>
          <w:sz w:val="24"/>
          <w:szCs w:val="24"/>
        </w:rPr>
        <w:t>In Section A</w:t>
      </w:r>
      <w:r w:rsidR="0023733C" w:rsidRPr="0042152F">
        <w:rPr>
          <w:rFonts w:ascii="Times New Roman" w:hAnsi="Times New Roman" w:cs="Times New Roman"/>
          <w:sz w:val="24"/>
          <w:szCs w:val="24"/>
        </w:rPr>
        <w:t xml:space="preserve">, </w:t>
      </w:r>
      <w:r w:rsidR="00307B0A" w:rsidRPr="0042152F">
        <w:rPr>
          <w:rFonts w:ascii="Times New Roman" w:hAnsi="Times New Roman" w:cs="Times New Roman"/>
          <w:sz w:val="24"/>
          <w:szCs w:val="24"/>
        </w:rPr>
        <w:t xml:space="preserve">we present our proposed changes to the </w:t>
      </w:r>
      <w:r w:rsidR="00307B0A" w:rsidRPr="0042152F">
        <w:rPr>
          <w:rFonts w:ascii="Times New Roman" w:hAnsi="Times New Roman" w:cs="Times New Roman"/>
          <w:i/>
          <w:iCs/>
          <w:sz w:val="24"/>
          <w:szCs w:val="24"/>
        </w:rPr>
        <w:t>MFW</w:t>
      </w:r>
      <w:r w:rsidR="00307B0A" w:rsidRPr="0042152F">
        <w:rPr>
          <w:rFonts w:ascii="Times New Roman" w:hAnsi="Times New Roman" w:cs="Times New Roman"/>
          <w:sz w:val="24"/>
          <w:szCs w:val="24"/>
        </w:rPr>
        <w:t xml:space="preserve"> </w:t>
      </w:r>
      <w:r w:rsidR="00121EA9" w:rsidRPr="0042152F">
        <w:rPr>
          <w:rFonts w:ascii="Times New Roman" w:hAnsi="Times New Roman" w:cs="Times New Roman"/>
          <w:sz w:val="24"/>
          <w:szCs w:val="24"/>
        </w:rPr>
        <w:t>conditions</w:t>
      </w:r>
      <w:r w:rsidR="00CF6EB0">
        <w:rPr>
          <w:rFonts w:ascii="Times New Roman" w:hAnsi="Times New Roman" w:cs="Times New Roman"/>
          <w:sz w:val="24"/>
          <w:szCs w:val="24"/>
        </w:rPr>
        <w:t xml:space="preserve"> that would better </w:t>
      </w:r>
      <w:r w:rsidR="009513D8">
        <w:rPr>
          <w:rFonts w:ascii="Times New Roman" w:hAnsi="Times New Roman" w:cs="Times New Roman"/>
          <w:sz w:val="24"/>
          <w:szCs w:val="24"/>
        </w:rPr>
        <w:t>respect the choices of minority shareholders</w:t>
      </w:r>
      <w:r w:rsidR="00121EA9" w:rsidRPr="0042152F">
        <w:rPr>
          <w:rFonts w:ascii="Times New Roman" w:hAnsi="Times New Roman" w:cs="Times New Roman"/>
          <w:sz w:val="24"/>
          <w:szCs w:val="24"/>
        </w:rPr>
        <w:t xml:space="preserve">. </w:t>
      </w:r>
      <w:r w:rsidR="00184BBA" w:rsidRPr="0042152F">
        <w:rPr>
          <w:rFonts w:ascii="Times New Roman" w:hAnsi="Times New Roman" w:cs="Times New Roman"/>
          <w:sz w:val="24"/>
          <w:szCs w:val="24"/>
        </w:rPr>
        <w:t>In Section B</w:t>
      </w:r>
      <w:r w:rsidR="00C74D01">
        <w:rPr>
          <w:rFonts w:ascii="Times New Roman" w:hAnsi="Times New Roman" w:cs="Times New Roman"/>
          <w:sz w:val="24"/>
          <w:szCs w:val="24"/>
        </w:rPr>
        <w:t>,</w:t>
      </w:r>
      <w:r w:rsidR="00184BBA" w:rsidRPr="0042152F">
        <w:rPr>
          <w:rFonts w:ascii="Times New Roman" w:hAnsi="Times New Roman" w:cs="Times New Roman"/>
          <w:sz w:val="24"/>
          <w:szCs w:val="24"/>
        </w:rPr>
        <w:t xml:space="preserve"> </w:t>
      </w:r>
      <w:r w:rsidR="00273DBB" w:rsidRPr="0042152F">
        <w:rPr>
          <w:rFonts w:ascii="Times New Roman" w:hAnsi="Times New Roman" w:cs="Times New Roman"/>
          <w:sz w:val="24"/>
          <w:szCs w:val="24"/>
        </w:rPr>
        <w:t xml:space="preserve">we </w:t>
      </w:r>
      <w:r w:rsidR="00CF6EB0">
        <w:rPr>
          <w:rFonts w:ascii="Times New Roman" w:hAnsi="Times New Roman" w:cs="Times New Roman"/>
          <w:sz w:val="24"/>
          <w:szCs w:val="24"/>
        </w:rPr>
        <w:t>offer suggestions for courts applying entire fairness review</w:t>
      </w:r>
      <w:r w:rsidR="009513D8">
        <w:rPr>
          <w:rFonts w:ascii="Times New Roman" w:hAnsi="Times New Roman" w:cs="Times New Roman"/>
          <w:sz w:val="24"/>
          <w:szCs w:val="24"/>
        </w:rPr>
        <w:t xml:space="preserve"> of controller transactions, including those that involve idiosyncratic vision</w:t>
      </w:r>
      <w:r w:rsidR="00CF6EB0">
        <w:rPr>
          <w:rFonts w:ascii="Times New Roman" w:hAnsi="Times New Roman" w:cs="Times New Roman"/>
          <w:sz w:val="24"/>
          <w:szCs w:val="24"/>
        </w:rPr>
        <w:t xml:space="preserve">. More specifically, we argue that courts should </w:t>
      </w:r>
      <w:r w:rsidR="00EC5542">
        <w:rPr>
          <w:rFonts w:ascii="Times New Roman" w:hAnsi="Times New Roman" w:cs="Times New Roman"/>
          <w:sz w:val="24"/>
          <w:szCs w:val="24"/>
        </w:rPr>
        <w:t>ascribe</w:t>
      </w:r>
      <w:r w:rsidR="00273DBB" w:rsidRPr="0042152F">
        <w:rPr>
          <w:rFonts w:ascii="Times New Roman" w:hAnsi="Times New Roman" w:cs="Times New Roman"/>
          <w:sz w:val="24"/>
          <w:szCs w:val="24"/>
        </w:rPr>
        <w:t xml:space="preserve"> different effect</w:t>
      </w:r>
      <w:r w:rsidR="00EC5542">
        <w:rPr>
          <w:rFonts w:ascii="Times New Roman" w:hAnsi="Times New Roman" w:cs="Times New Roman"/>
          <w:sz w:val="24"/>
          <w:szCs w:val="24"/>
        </w:rPr>
        <w:t>s</w:t>
      </w:r>
      <w:r w:rsidR="00273DBB" w:rsidRPr="0042152F">
        <w:rPr>
          <w:rFonts w:ascii="Times New Roman" w:hAnsi="Times New Roman" w:cs="Times New Roman"/>
          <w:sz w:val="24"/>
          <w:szCs w:val="24"/>
        </w:rPr>
        <w:t xml:space="preserve"> to </w:t>
      </w:r>
      <w:r w:rsidR="009E7B6C" w:rsidRPr="0042152F">
        <w:rPr>
          <w:rFonts w:ascii="Times New Roman" w:hAnsi="Times New Roman" w:cs="Times New Roman"/>
          <w:sz w:val="24"/>
          <w:szCs w:val="24"/>
        </w:rPr>
        <w:t xml:space="preserve">the lack of informed disinterested shareholder vote and the lack of an effective bargaining by a special committee. </w:t>
      </w:r>
      <w:r w:rsidR="0011470D" w:rsidRPr="0042152F">
        <w:rPr>
          <w:rFonts w:ascii="Times New Roman" w:hAnsi="Times New Roman" w:cs="Times New Roman"/>
          <w:sz w:val="24"/>
          <w:szCs w:val="24"/>
        </w:rPr>
        <w:t>T</w:t>
      </w:r>
      <w:r w:rsidR="00262C66" w:rsidRPr="0042152F">
        <w:rPr>
          <w:rFonts w:ascii="Times New Roman" w:hAnsi="Times New Roman" w:cs="Times New Roman"/>
          <w:sz w:val="24"/>
          <w:szCs w:val="24"/>
        </w:rPr>
        <w:t xml:space="preserve">hese changes would allow courts to continue to </w:t>
      </w:r>
      <w:r w:rsidR="009D3F08" w:rsidRPr="0042152F">
        <w:rPr>
          <w:rFonts w:ascii="Times New Roman" w:hAnsi="Times New Roman" w:cs="Times New Roman"/>
          <w:sz w:val="24"/>
          <w:szCs w:val="24"/>
        </w:rPr>
        <w:t>police</w:t>
      </w:r>
      <w:r w:rsidR="00262C66" w:rsidRPr="0042152F">
        <w:rPr>
          <w:rFonts w:ascii="Times New Roman" w:hAnsi="Times New Roman" w:cs="Times New Roman"/>
          <w:sz w:val="24"/>
          <w:szCs w:val="24"/>
        </w:rPr>
        <w:t xml:space="preserve"> controller transactions </w:t>
      </w:r>
      <w:r w:rsidR="002F185C" w:rsidRPr="0042152F">
        <w:rPr>
          <w:rFonts w:ascii="Times New Roman" w:hAnsi="Times New Roman" w:cs="Times New Roman"/>
          <w:sz w:val="24"/>
          <w:szCs w:val="24"/>
        </w:rPr>
        <w:t>but would ensure</w:t>
      </w:r>
      <w:r w:rsidR="00262C66" w:rsidRPr="0042152F">
        <w:rPr>
          <w:rFonts w:ascii="Times New Roman" w:hAnsi="Times New Roman" w:cs="Times New Roman"/>
          <w:sz w:val="24"/>
          <w:szCs w:val="24"/>
        </w:rPr>
        <w:t xml:space="preserve"> that searching judicial review </w:t>
      </w:r>
      <w:r w:rsidR="009D3F08" w:rsidRPr="0042152F">
        <w:rPr>
          <w:rFonts w:ascii="Times New Roman" w:hAnsi="Times New Roman" w:cs="Times New Roman"/>
          <w:sz w:val="24"/>
          <w:szCs w:val="24"/>
        </w:rPr>
        <w:t xml:space="preserve">of </w:t>
      </w:r>
      <w:r w:rsidR="00D23136">
        <w:rPr>
          <w:rFonts w:ascii="Times New Roman" w:hAnsi="Times New Roman" w:cs="Times New Roman"/>
          <w:sz w:val="24"/>
          <w:szCs w:val="24"/>
        </w:rPr>
        <w:t xml:space="preserve">the transaction’s </w:t>
      </w:r>
      <w:r w:rsidR="009D3F08" w:rsidRPr="0042152F">
        <w:rPr>
          <w:rFonts w:ascii="Times New Roman" w:hAnsi="Times New Roman" w:cs="Times New Roman"/>
          <w:sz w:val="24"/>
          <w:szCs w:val="24"/>
        </w:rPr>
        <w:t>price</w:t>
      </w:r>
      <w:r w:rsidR="00262C66" w:rsidRPr="0042152F">
        <w:rPr>
          <w:rFonts w:ascii="Times New Roman" w:hAnsi="Times New Roman" w:cs="Times New Roman"/>
          <w:sz w:val="24"/>
          <w:szCs w:val="24"/>
        </w:rPr>
        <w:t xml:space="preserve"> would be limited to scenarios </w:t>
      </w:r>
      <w:r w:rsidR="009D3F08" w:rsidRPr="0042152F">
        <w:rPr>
          <w:rFonts w:ascii="Times New Roman" w:hAnsi="Times New Roman" w:cs="Times New Roman"/>
          <w:sz w:val="24"/>
          <w:szCs w:val="24"/>
        </w:rPr>
        <w:t>where it is most needed</w:t>
      </w:r>
      <w:r w:rsidR="002F185C" w:rsidRPr="0042152F">
        <w:rPr>
          <w:rFonts w:ascii="Times New Roman" w:hAnsi="Times New Roman" w:cs="Times New Roman"/>
          <w:sz w:val="24"/>
          <w:szCs w:val="24"/>
        </w:rPr>
        <w:t xml:space="preserve">. </w:t>
      </w:r>
    </w:p>
    <w:p w14:paraId="74BB6312" w14:textId="2EA3E994" w:rsidR="00F11C16" w:rsidRPr="0042152F" w:rsidRDefault="00F11C16" w:rsidP="002E3243">
      <w:pPr>
        <w:tabs>
          <w:tab w:val="left" w:pos="72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Before turning to </w:t>
      </w:r>
      <w:r w:rsidR="00C53EE3">
        <w:rPr>
          <w:rFonts w:ascii="Times New Roman" w:hAnsi="Times New Roman" w:cs="Times New Roman"/>
          <w:sz w:val="24"/>
          <w:szCs w:val="24"/>
        </w:rPr>
        <w:t>our proposals</w:t>
      </w:r>
      <w:r>
        <w:rPr>
          <w:rFonts w:ascii="Times New Roman" w:hAnsi="Times New Roman" w:cs="Times New Roman"/>
          <w:sz w:val="24"/>
          <w:szCs w:val="24"/>
        </w:rPr>
        <w:t>, we offer a few words about the</w:t>
      </w:r>
      <w:r w:rsidR="00EB48DB">
        <w:rPr>
          <w:rFonts w:ascii="Times New Roman" w:hAnsi="Times New Roman" w:cs="Times New Roman"/>
          <w:sz w:val="24"/>
          <w:szCs w:val="24"/>
        </w:rPr>
        <w:t>ir scope</w:t>
      </w:r>
      <w:r>
        <w:rPr>
          <w:rFonts w:ascii="Times New Roman" w:hAnsi="Times New Roman" w:cs="Times New Roman"/>
          <w:sz w:val="24"/>
          <w:szCs w:val="24"/>
        </w:rPr>
        <w:t>. To begin</w:t>
      </w:r>
      <w:r w:rsidRPr="0042152F">
        <w:rPr>
          <w:rFonts w:ascii="Times New Roman" w:hAnsi="Times New Roman" w:cs="Times New Roman"/>
          <w:sz w:val="24"/>
          <w:szCs w:val="24"/>
        </w:rPr>
        <w:t xml:space="preserve">, </w:t>
      </w:r>
      <w:r>
        <w:rPr>
          <w:rFonts w:ascii="Times New Roman" w:hAnsi="Times New Roman" w:cs="Times New Roman"/>
          <w:sz w:val="24"/>
          <w:szCs w:val="24"/>
        </w:rPr>
        <w:t xml:space="preserve">we recognize that </w:t>
      </w:r>
      <w:r w:rsidRPr="0042152F">
        <w:rPr>
          <w:rFonts w:ascii="Times New Roman" w:hAnsi="Times New Roman" w:cs="Times New Roman"/>
          <w:sz w:val="24"/>
          <w:szCs w:val="24"/>
        </w:rPr>
        <w:t xml:space="preserve">not all controller transactions will involve idiosyncratic vision. For instance, freezeout transactions—the area in which entire fairness and </w:t>
      </w:r>
      <w:r w:rsidRPr="0042152F">
        <w:rPr>
          <w:rFonts w:ascii="Times New Roman" w:hAnsi="Times New Roman" w:cs="Times New Roman"/>
          <w:i/>
          <w:iCs/>
          <w:sz w:val="24"/>
          <w:szCs w:val="24"/>
        </w:rPr>
        <w:t>MFW</w:t>
      </w:r>
      <w:r w:rsidRPr="0042152F">
        <w:rPr>
          <w:rFonts w:ascii="Times New Roman" w:hAnsi="Times New Roman" w:cs="Times New Roman"/>
          <w:sz w:val="24"/>
          <w:szCs w:val="24"/>
        </w:rPr>
        <w:t xml:space="preserve"> cleansing emerged—or the sale of the company to a third party typically do not involve vision. </w:t>
      </w:r>
      <w:r w:rsidR="00EB48DB">
        <w:rPr>
          <w:rFonts w:ascii="Times New Roman" w:hAnsi="Times New Roman" w:cs="Times New Roman"/>
          <w:sz w:val="24"/>
          <w:szCs w:val="24"/>
        </w:rPr>
        <w:t xml:space="preserve">However, we do not offer a legal test that would separate self-dealing transactions that involve vision from those that do not. And </w:t>
      </w:r>
      <w:r w:rsidR="00EB48DB">
        <w:rPr>
          <w:rFonts w:ascii="Times New Roman" w:hAnsi="Times New Roman" w:cs="Times New Roman"/>
          <w:sz w:val="24"/>
          <w:szCs w:val="24"/>
        </w:rPr>
        <w:lastRenderedPageBreak/>
        <w:t xml:space="preserve">that is because our proposals to refine and improve the </w:t>
      </w:r>
      <w:r w:rsidR="00EB48DB">
        <w:rPr>
          <w:rFonts w:ascii="Times New Roman" w:hAnsi="Times New Roman" w:cs="Times New Roman"/>
          <w:i/>
          <w:iCs/>
          <w:sz w:val="24"/>
          <w:szCs w:val="24"/>
        </w:rPr>
        <w:t xml:space="preserve">MFW </w:t>
      </w:r>
      <w:r w:rsidR="00EB48DB">
        <w:rPr>
          <w:rFonts w:ascii="Times New Roman" w:hAnsi="Times New Roman" w:cs="Times New Roman"/>
          <w:sz w:val="24"/>
          <w:szCs w:val="24"/>
        </w:rPr>
        <w:t xml:space="preserve">framework </w:t>
      </w:r>
      <w:r w:rsidR="00C53EE3">
        <w:rPr>
          <w:rFonts w:ascii="Times New Roman" w:hAnsi="Times New Roman" w:cs="Times New Roman"/>
          <w:sz w:val="24"/>
          <w:szCs w:val="24"/>
        </w:rPr>
        <w:t>apply to all self-dealing transactions</w:t>
      </w:r>
      <w:r w:rsidR="00EB48DB">
        <w:rPr>
          <w:rFonts w:ascii="Times New Roman" w:hAnsi="Times New Roman" w:cs="Times New Roman"/>
          <w:sz w:val="24"/>
          <w:szCs w:val="24"/>
        </w:rPr>
        <w:t xml:space="preserve">. While the valuation issues that we identify are especially troublesome for transactions involving vision, these shortcomings affect other types of self-dealing transactions as well. Our proposals, therefore, would improve the regulation of all types of self-dealing transactions without the need for courts to apply different regimes to different transactions. The Sections that follow describe our proposals in detail. </w:t>
      </w:r>
    </w:p>
    <w:p w14:paraId="28DD5EA8" w14:textId="6A264F5E" w:rsidR="0023733C" w:rsidRPr="0042152F" w:rsidRDefault="00262C66" w:rsidP="00B26031">
      <w:pPr>
        <w:pStyle w:val="Heading2"/>
        <w:spacing w:before="0" w:line="360" w:lineRule="auto"/>
      </w:pPr>
      <w:bookmarkStart w:id="28" w:name="_Toc181789844"/>
      <w:r w:rsidRPr="0042152F">
        <w:t>A</w:t>
      </w:r>
      <w:r w:rsidR="004F6826" w:rsidRPr="0042152F">
        <w:t xml:space="preserve">. </w:t>
      </w:r>
      <w:r w:rsidRPr="0042152F">
        <w:t>Ad</w:t>
      </w:r>
      <w:r w:rsidR="00D0366A" w:rsidRPr="0042152F">
        <w:t>a</w:t>
      </w:r>
      <w:r w:rsidRPr="0042152F">
        <w:t>pting the MFW Framework</w:t>
      </w:r>
      <w:bookmarkEnd w:id="28"/>
    </w:p>
    <w:p w14:paraId="347B2340" w14:textId="230BA6CE" w:rsidR="005F5819" w:rsidRDefault="0023733C" w:rsidP="002E3243">
      <w:pPr>
        <w:spacing w:after="12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This Section describes our proposed changes to the </w:t>
      </w:r>
      <w:r w:rsidRPr="00A82823">
        <w:rPr>
          <w:rFonts w:ascii="Times New Roman" w:hAnsi="Times New Roman" w:cs="Times New Roman"/>
          <w:i/>
          <w:iCs/>
          <w:sz w:val="24"/>
          <w:szCs w:val="24"/>
        </w:rPr>
        <w:t>MFW</w:t>
      </w:r>
      <w:r w:rsidRPr="0042152F">
        <w:rPr>
          <w:rFonts w:ascii="Times New Roman" w:hAnsi="Times New Roman" w:cs="Times New Roman"/>
          <w:sz w:val="24"/>
          <w:szCs w:val="24"/>
        </w:rPr>
        <w:t xml:space="preserve"> framework</w:t>
      </w:r>
      <w:r w:rsidR="00E67ED0">
        <w:rPr>
          <w:rFonts w:ascii="Times New Roman" w:hAnsi="Times New Roman" w:cs="Times New Roman"/>
          <w:sz w:val="24"/>
          <w:szCs w:val="24"/>
        </w:rPr>
        <w:t>, which as we have shown, has become too prone to failure</w:t>
      </w:r>
      <w:r w:rsidRPr="0042152F">
        <w:rPr>
          <w:rFonts w:ascii="Times New Roman" w:hAnsi="Times New Roman" w:cs="Times New Roman"/>
          <w:sz w:val="24"/>
          <w:szCs w:val="24"/>
        </w:rPr>
        <w:t xml:space="preserve">. First, we suggest that disclosure deficiencies concerning the special committee </w:t>
      </w:r>
      <w:r w:rsidR="00F11C16">
        <w:rPr>
          <w:rFonts w:ascii="Times New Roman" w:hAnsi="Times New Roman" w:cs="Times New Roman"/>
          <w:sz w:val="24"/>
          <w:szCs w:val="24"/>
        </w:rPr>
        <w:t xml:space="preserve">process should not </w:t>
      </w:r>
      <w:r w:rsidRPr="0042152F">
        <w:rPr>
          <w:rFonts w:ascii="Times New Roman" w:hAnsi="Times New Roman" w:cs="Times New Roman"/>
          <w:sz w:val="24"/>
          <w:szCs w:val="24"/>
        </w:rPr>
        <w:t>to undermine the cleansing effect of the shareholder vote. Second, we suggest that court</w:t>
      </w:r>
      <w:r w:rsidR="00DA778E">
        <w:rPr>
          <w:rFonts w:ascii="Times New Roman" w:hAnsi="Times New Roman" w:cs="Times New Roman"/>
          <w:sz w:val="24"/>
          <w:szCs w:val="24"/>
        </w:rPr>
        <w:t>s</w:t>
      </w:r>
      <w:r w:rsidRPr="0042152F">
        <w:rPr>
          <w:rFonts w:ascii="Times New Roman" w:hAnsi="Times New Roman" w:cs="Times New Roman"/>
          <w:sz w:val="24"/>
          <w:szCs w:val="24"/>
        </w:rPr>
        <w:t xml:space="preserve"> adopt a </w:t>
      </w:r>
      <w:r w:rsidRPr="0042152F">
        <w:rPr>
          <w:rFonts w:ascii="Times New Roman" w:hAnsi="Times New Roman" w:cs="Times New Roman"/>
          <w:i/>
          <w:iCs/>
          <w:sz w:val="24"/>
          <w:szCs w:val="24"/>
        </w:rPr>
        <w:t>Corwin</w:t>
      </w:r>
      <w:r w:rsidRPr="0042152F">
        <w:rPr>
          <w:rFonts w:ascii="Times New Roman" w:hAnsi="Times New Roman" w:cs="Times New Roman"/>
          <w:sz w:val="24"/>
          <w:szCs w:val="24"/>
        </w:rPr>
        <w:t>-style rule to incentivize companies to disclos</w:t>
      </w:r>
      <w:r w:rsidR="00C33067">
        <w:rPr>
          <w:rFonts w:ascii="Times New Roman" w:hAnsi="Times New Roman" w:cs="Times New Roman"/>
          <w:sz w:val="24"/>
          <w:szCs w:val="24"/>
        </w:rPr>
        <w:t>e</w:t>
      </w:r>
      <w:r w:rsidRPr="0042152F">
        <w:rPr>
          <w:rFonts w:ascii="Times New Roman" w:hAnsi="Times New Roman" w:cs="Times New Roman"/>
          <w:sz w:val="24"/>
          <w:szCs w:val="24"/>
        </w:rPr>
        <w:t xml:space="preserve"> information concerning the special committee and its bargaining process. </w:t>
      </w:r>
      <w:r w:rsidR="005F5819">
        <w:rPr>
          <w:rFonts w:ascii="Times New Roman" w:hAnsi="Times New Roman" w:cs="Times New Roman"/>
          <w:sz w:val="24"/>
          <w:szCs w:val="24"/>
        </w:rPr>
        <w:t xml:space="preserve"> </w:t>
      </w:r>
    </w:p>
    <w:p w14:paraId="110AE4BC" w14:textId="77777777" w:rsidR="002E3243" w:rsidRPr="0042152F" w:rsidRDefault="002E3243" w:rsidP="002E3243">
      <w:pPr>
        <w:spacing w:after="120" w:line="360" w:lineRule="auto"/>
        <w:ind w:firstLine="720"/>
        <w:jc w:val="both"/>
        <w:rPr>
          <w:rFonts w:ascii="Times New Roman" w:hAnsi="Times New Roman" w:cs="Times New Roman"/>
          <w:sz w:val="24"/>
          <w:szCs w:val="24"/>
        </w:rPr>
      </w:pPr>
    </w:p>
    <w:p w14:paraId="5E7A2CCB" w14:textId="6EF00159" w:rsidR="00057AE1" w:rsidRPr="0042152F" w:rsidRDefault="00DF6A7C" w:rsidP="00B54C7C">
      <w:pPr>
        <w:pStyle w:val="Heading3"/>
        <w:spacing w:before="0" w:after="0"/>
      </w:pPr>
      <w:bookmarkStart w:id="29" w:name="_Toc181789845"/>
      <w:r w:rsidRPr="0042152F">
        <w:t>i</w:t>
      </w:r>
      <w:r w:rsidR="005C4209" w:rsidRPr="0042152F">
        <w:t>.</w:t>
      </w:r>
      <w:r w:rsidR="005C4209" w:rsidRPr="0042152F">
        <w:tab/>
      </w:r>
      <w:r w:rsidR="00DF3071" w:rsidRPr="0042152F">
        <w:t>The</w:t>
      </w:r>
      <w:r w:rsidR="00B85BB4" w:rsidRPr="0042152F">
        <w:t xml:space="preserve"> Majority of Minority Condition </w:t>
      </w:r>
      <w:r w:rsidR="00DF3071" w:rsidRPr="0042152F">
        <w:t>Should Not Depend on</w:t>
      </w:r>
      <w:r w:rsidR="00B85BB4" w:rsidRPr="0042152F">
        <w:t xml:space="preserve"> Special Committee Disclosure</w:t>
      </w:r>
      <w:bookmarkEnd w:id="29"/>
    </w:p>
    <w:p w14:paraId="3BA9237B" w14:textId="51823CDC" w:rsidR="001E1726" w:rsidRDefault="00DD5560"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As we explained above, the </w:t>
      </w:r>
      <w:r w:rsidRPr="0042152F">
        <w:rPr>
          <w:rFonts w:ascii="Times New Roman" w:hAnsi="Times New Roman" w:cs="Times New Roman"/>
          <w:i/>
          <w:iCs/>
          <w:sz w:val="24"/>
          <w:szCs w:val="24"/>
        </w:rPr>
        <w:t xml:space="preserve">MFW </w:t>
      </w:r>
      <w:r w:rsidRPr="0042152F">
        <w:rPr>
          <w:rFonts w:ascii="Times New Roman" w:hAnsi="Times New Roman" w:cs="Times New Roman"/>
          <w:sz w:val="24"/>
          <w:szCs w:val="24"/>
        </w:rPr>
        <w:t>framework has evolved to discredit the vote of disinterested shareholders</w:t>
      </w:r>
      <w:r>
        <w:rPr>
          <w:rFonts w:ascii="Times New Roman" w:hAnsi="Times New Roman" w:cs="Times New Roman"/>
          <w:sz w:val="24"/>
          <w:szCs w:val="24"/>
        </w:rPr>
        <w:t xml:space="preserve"> </w:t>
      </w:r>
      <w:r w:rsidR="00705CAB">
        <w:rPr>
          <w:rFonts w:ascii="Times New Roman" w:hAnsi="Times New Roman" w:cs="Times New Roman"/>
          <w:sz w:val="24"/>
          <w:szCs w:val="24"/>
        </w:rPr>
        <w:t xml:space="preserve">even </w:t>
      </w:r>
      <w:r w:rsidR="00F6519C">
        <w:rPr>
          <w:rFonts w:ascii="Times New Roman" w:hAnsi="Times New Roman" w:cs="Times New Roman"/>
          <w:sz w:val="24"/>
          <w:szCs w:val="24"/>
        </w:rPr>
        <w:t>when they</w:t>
      </w:r>
      <w:r w:rsidR="00452A0A">
        <w:rPr>
          <w:rFonts w:ascii="Times New Roman" w:hAnsi="Times New Roman" w:cs="Times New Roman"/>
          <w:sz w:val="24"/>
          <w:szCs w:val="24"/>
        </w:rPr>
        <w:t xml:space="preserve"> receive</w:t>
      </w:r>
      <w:r w:rsidRPr="0042152F">
        <w:rPr>
          <w:rFonts w:ascii="Times New Roman" w:hAnsi="Times New Roman" w:cs="Times New Roman"/>
          <w:sz w:val="24"/>
          <w:szCs w:val="24"/>
        </w:rPr>
        <w:t xml:space="preserve"> full disclosure of the transaction</w:t>
      </w:r>
      <w:r>
        <w:rPr>
          <w:rFonts w:ascii="Times New Roman" w:hAnsi="Times New Roman" w:cs="Times New Roman"/>
          <w:sz w:val="24"/>
          <w:szCs w:val="24"/>
        </w:rPr>
        <w:t xml:space="preserve">’s </w:t>
      </w:r>
      <w:r w:rsidR="00970DA4">
        <w:rPr>
          <w:rFonts w:ascii="Times New Roman" w:hAnsi="Times New Roman" w:cs="Times New Roman"/>
          <w:sz w:val="24"/>
          <w:szCs w:val="24"/>
        </w:rPr>
        <w:t>financial</w:t>
      </w:r>
      <w:r>
        <w:rPr>
          <w:rFonts w:ascii="Times New Roman" w:hAnsi="Times New Roman" w:cs="Times New Roman"/>
          <w:sz w:val="24"/>
          <w:szCs w:val="24"/>
        </w:rPr>
        <w:t xml:space="preserve"> terms</w:t>
      </w:r>
      <w:r w:rsidRPr="0042152F">
        <w:rPr>
          <w:rFonts w:ascii="Times New Roman" w:hAnsi="Times New Roman" w:cs="Times New Roman"/>
          <w:sz w:val="24"/>
          <w:szCs w:val="24"/>
        </w:rPr>
        <w:t xml:space="preserve">. </w:t>
      </w:r>
      <w:r w:rsidR="00970DA4">
        <w:rPr>
          <w:rFonts w:ascii="Times New Roman" w:hAnsi="Times New Roman" w:cs="Times New Roman"/>
          <w:sz w:val="24"/>
          <w:szCs w:val="24"/>
        </w:rPr>
        <w:t>C</w:t>
      </w:r>
      <w:r w:rsidR="00F6519C" w:rsidRPr="0042152F">
        <w:rPr>
          <w:rFonts w:ascii="Times New Roman" w:hAnsi="Times New Roman" w:cs="Times New Roman"/>
          <w:sz w:val="24"/>
          <w:szCs w:val="24"/>
        </w:rPr>
        <w:t xml:space="preserve">ourts </w:t>
      </w:r>
      <w:r w:rsidR="00F6519C">
        <w:rPr>
          <w:rFonts w:ascii="Times New Roman" w:hAnsi="Times New Roman" w:cs="Times New Roman"/>
          <w:sz w:val="24"/>
          <w:szCs w:val="24"/>
        </w:rPr>
        <w:t>have held</w:t>
      </w:r>
      <w:r w:rsidR="00F6519C" w:rsidRPr="0042152F">
        <w:rPr>
          <w:rFonts w:ascii="Times New Roman" w:hAnsi="Times New Roman" w:cs="Times New Roman"/>
          <w:sz w:val="24"/>
          <w:szCs w:val="24"/>
        </w:rPr>
        <w:t xml:space="preserve"> </w:t>
      </w:r>
      <w:r w:rsidR="001E1726" w:rsidRPr="0042152F">
        <w:rPr>
          <w:rFonts w:ascii="Times New Roman" w:hAnsi="Times New Roman" w:cs="Times New Roman"/>
          <w:sz w:val="24"/>
          <w:szCs w:val="24"/>
        </w:rPr>
        <w:t>that information about the special committee process (including director independence, the bargaining process, and potential conflicts of the committee’s advisors) not only count as “material information” required to be disclosed to shareholders</w:t>
      </w:r>
      <w:r w:rsidR="00F6519C">
        <w:rPr>
          <w:rFonts w:ascii="Times New Roman" w:hAnsi="Times New Roman" w:cs="Times New Roman"/>
          <w:sz w:val="24"/>
          <w:szCs w:val="24"/>
        </w:rPr>
        <w:t>,</w:t>
      </w:r>
      <w:r w:rsidR="001E1726" w:rsidRPr="0042152F">
        <w:rPr>
          <w:rFonts w:ascii="Times New Roman" w:hAnsi="Times New Roman" w:cs="Times New Roman"/>
          <w:sz w:val="24"/>
          <w:szCs w:val="24"/>
        </w:rPr>
        <w:t xml:space="preserve"> but also le</w:t>
      </w:r>
      <w:r w:rsidR="001E1726">
        <w:rPr>
          <w:rFonts w:ascii="Times New Roman" w:hAnsi="Times New Roman" w:cs="Times New Roman"/>
          <w:sz w:val="24"/>
          <w:szCs w:val="24"/>
        </w:rPr>
        <w:t>a</w:t>
      </w:r>
      <w:r w:rsidR="001E1726" w:rsidRPr="0042152F">
        <w:rPr>
          <w:rFonts w:ascii="Times New Roman" w:hAnsi="Times New Roman" w:cs="Times New Roman"/>
          <w:sz w:val="24"/>
          <w:szCs w:val="24"/>
        </w:rPr>
        <w:t>d to the failure of the majority of minority shareholder vote condition</w:t>
      </w:r>
      <w:r w:rsidR="00F6519C">
        <w:rPr>
          <w:rFonts w:ascii="Times New Roman" w:hAnsi="Times New Roman" w:cs="Times New Roman"/>
          <w:sz w:val="24"/>
          <w:szCs w:val="24"/>
        </w:rPr>
        <w:t xml:space="preserve"> when they are not disclosed</w:t>
      </w:r>
      <w:r w:rsidR="001E1726" w:rsidRPr="0042152F">
        <w:rPr>
          <w:rFonts w:ascii="Times New Roman" w:hAnsi="Times New Roman" w:cs="Times New Roman"/>
          <w:sz w:val="24"/>
          <w:szCs w:val="24"/>
        </w:rPr>
        <w:t xml:space="preserve">. </w:t>
      </w:r>
      <w:r w:rsidR="008C4D78">
        <w:rPr>
          <w:rFonts w:ascii="Times New Roman" w:hAnsi="Times New Roman" w:cs="Times New Roman"/>
          <w:sz w:val="24"/>
          <w:szCs w:val="24"/>
        </w:rPr>
        <w:t>Consequently</w:t>
      </w:r>
      <w:r w:rsidR="001E1726" w:rsidRPr="0042152F">
        <w:rPr>
          <w:rFonts w:ascii="Times New Roman" w:hAnsi="Times New Roman" w:cs="Times New Roman"/>
          <w:sz w:val="24"/>
          <w:szCs w:val="24"/>
        </w:rPr>
        <w:t xml:space="preserve">, a failure of the special committee </w:t>
      </w:r>
      <w:r w:rsidR="00F6519C">
        <w:rPr>
          <w:rFonts w:ascii="Times New Roman" w:hAnsi="Times New Roman" w:cs="Times New Roman"/>
          <w:sz w:val="24"/>
          <w:szCs w:val="24"/>
        </w:rPr>
        <w:t>often</w:t>
      </w:r>
      <w:r w:rsidR="00F6519C" w:rsidRPr="0042152F">
        <w:rPr>
          <w:rFonts w:ascii="Times New Roman" w:hAnsi="Times New Roman" w:cs="Times New Roman"/>
          <w:sz w:val="24"/>
          <w:szCs w:val="24"/>
        </w:rPr>
        <w:t xml:space="preserve"> </w:t>
      </w:r>
      <w:r w:rsidR="001E1726" w:rsidRPr="0042152F">
        <w:rPr>
          <w:rFonts w:ascii="Times New Roman" w:hAnsi="Times New Roman" w:cs="Times New Roman"/>
          <w:sz w:val="24"/>
          <w:szCs w:val="24"/>
        </w:rPr>
        <w:t>lead</w:t>
      </w:r>
      <w:r w:rsidR="00F6519C">
        <w:rPr>
          <w:rFonts w:ascii="Times New Roman" w:hAnsi="Times New Roman" w:cs="Times New Roman"/>
          <w:sz w:val="24"/>
          <w:szCs w:val="24"/>
        </w:rPr>
        <w:t>s</w:t>
      </w:r>
      <w:r w:rsidR="001E1726" w:rsidRPr="0042152F">
        <w:rPr>
          <w:rFonts w:ascii="Times New Roman" w:hAnsi="Times New Roman" w:cs="Times New Roman"/>
          <w:sz w:val="24"/>
          <w:szCs w:val="24"/>
        </w:rPr>
        <w:t xml:space="preserve"> to a failure of the shareholder vote</w:t>
      </w:r>
      <w:r w:rsidR="00F6519C">
        <w:rPr>
          <w:rFonts w:ascii="Times New Roman" w:hAnsi="Times New Roman" w:cs="Times New Roman"/>
          <w:sz w:val="24"/>
          <w:szCs w:val="24"/>
        </w:rPr>
        <w:t xml:space="preserve"> as well</w:t>
      </w:r>
      <w:r w:rsidR="001E1726">
        <w:rPr>
          <w:rFonts w:ascii="Times New Roman" w:hAnsi="Times New Roman" w:cs="Times New Roman"/>
          <w:sz w:val="24"/>
          <w:szCs w:val="24"/>
        </w:rPr>
        <w:t>.</w:t>
      </w:r>
      <w:r w:rsidR="001E1726" w:rsidRPr="0042152F">
        <w:rPr>
          <w:rStyle w:val="FootnoteReference"/>
          <w:rFonts w:ascii="Times New Roman" w:hAnsi="Times New Roman" w:cs="Times New Roman"/>
          <w:sz w:val="24"/>
          <w:szCs w:val="24"/>
        </w:rPr>
        <w:footnoteReference w:id="228"/>
      </w:r>
    </w:p>
    <w:p w14:paraId="6C40B2CE" w14:textId="691CFFC4" w:rsidR="00202F75" w:rsidRDefault="00F6519C"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first proposal is </w:t>
      </w:r>
      <w:r w:rsidR="00D62162" w:rsidRPr="0042152F">
        <w:rPr>
          <w:rFonts w:ascii="Times New Roman" w:hAnsi="Times New Roman" w:cs="Times New Roman"/>
          <w:sz w:val="24"/>
          <w:szCs w:val="24"/>
        </w:rPr>
        <w:t>that</w:t>
      </w:r>
      <w:r w:rsidR="005B32BD" w:rsidRPr="0042152F">
        <w:rPr>
          <w:rFonts w:ascii="Times New Roman" w:hAnsi="Times New Roman" w:cs="Times New Roman"/>
          <w:sz w:val="24"/>
          <w:szCs w:val="24"/>
        </w:rPr>
        <w:t xml:space="preserve"> courts </w:t>
      </w:r>
      <w:r w:rsidR="00202F75">
        <w:rPr>
          <w:rFonts w:ascii="Times New Roman" w:hAnsi="Times New Roman" w:cs="Times New Roman"/>
          <w:sz w:val="24"/>
          <w:szCs w:val="24"/>
        </w:rPr>
        <w:t>should not</w:t>
      </w:r>
      <w:r w:rsidR="00D62162" w:rsidRPr="0042152F">
        <w:rPr>
          <w:rFonts w:ascii="Times New Roman" w:hAnsi="Times New Roman" w:cs="Times New Roman"/>
          <w:sz w:val="24"/>
          <w:szCs w:val="24"/>
        </w:rPr>
        <w:t xml:space="preserve"> </w:t>
      </w:r>
      <w:r w:rsidR="00530C37" w:rsidRPr="0042152F">
        <w:rPr>
          <w:rFonts w:ascii="Times New Roman" w:hAnsi="Times New Roman" w:cs="Times New Roman"/>
          <w:sz w:val="24"/>
          <w:szCs w:val="24"/>
        </w:rPr>
        <w:t xml:space="preserve">deny </w:t>
      </w:r>
      <w:r w:rsidR="005B32BD" w:rsidRPr="0042152F">
        <w:rPr>
          <w:rFonts w:ascii="Times New Roman" w:hAnsi="Times New Roman" w:cs="Times New Roman"/>
          <w:sz w:val="24"/>
          <w:szCs w:val="24"/>
        </w:rPr>
        <w:t xml:space="preserve">the </w:t>
      </w:r>
      <w:r w:rsidR="009A6004">
        <w:rPr>
          <w:rFonts w:ascii="Times New Roman" w:hAnsi="Times New Roman" w:cs="Times New Roman"/>
          <w:sz w:val="24"/>
          <w:szCs w:val="24"/>
        </w:rPr>
        <w:t xml:space="preserve">cleansing power of the </w:t>
      </w:r>
      <w:r w:rsidR="005B32BD" w:rsidRPr="0042152F">
        <w:rPr>
          <w:rFonts w:ascii="Times New Roman" w:hAnsi="Times New Roman" w:cs="Times New Roman"/>
          <w:sz w:val="24"/>
          <w:szCs w:val="24"/>
        </w:rPr>
        <w:t>shareholder vote</w:t>
      </w:r>
      <w:r w:rsidR="00F462D0" w:rsidRPr="0042152F">
        <w:rPr>
          <w:rFonts w:ascii="Times New Roman" w:hAnsi="Times New Roman" w:cs="Times New Roman"/>
          <w:sz w:val="24"/>
          <w:szCs w:val="24"/>
        </w:rPr>
        <w:t xml:space="preserve"> based on </w:t>
      </w:r>
      <w:r>
        <w:rPr>
          <w:rFonts w:ascii="Times New Roman" w:hAnsi="Times New Roman" w:cs="Times New Roman"/>
          <w:sz w:val="24"/>
          <w:szCs w:val="24"/>
        </w:rPr>
        <w:t>a</w:t>
      </w:r>
      <w:r w:rsidRPr="0042152F">
        <w:rPr>
          <w:rFonts w:ascii="Times New Roman" w:hAnsi="Times New Roman" w:cs="Times New Roman"/>
          <w:sz w:val="24"/>
          <w:szCs w:val="24"/>
        </w:rPr>
        <w:t xml:space="preserve"> </w:t>
      </w:r>
      <w:r w:rsidR="00FB766D">
        <w:rPr>
          <w:rFonts w:ascii="Times New Roman" w:hAnsi="Times New Roman" w:cs="Times New Roman"/>
          <w:sz w:val="24"/>
          <w:szCs w:val="24"/>
        </w:rPr>
        <w:t xml:space="preserve">company’s </w:t>
      </w:r>
      <w:r w:rsidR="00F462D0" w:rsidRPr="0042152F">
        <w:rPr>
          <w:rFonts w:ascii="Times New Roman" w:hAnsi="Times New Roman" w:cs="Times New Roman"/>
          <w:sz w:val="24"/>
          <w:szCs w:val="24"/>
        </w:rPr>
        <w:t xml:space="preserve">failure to disclose information about the special committee process. </w:t>
      </w:r>
      <w:r w:rsidR="00202F75">
        <w:rPr>
          <w:rFonts w:ascii="Times New Roman" w:hAnsi="Times New Roman" w:cs="Times New Roman"/>
          <w:sz w:val="24"/>
          <w:szCs w:val="24"/>
        </w:rPr>
        <w:t>Specifically, under our proposal, so long as the shareholders are informed about the material terms of the transaction,</w:t>
      </w:r>
      <w:r w:rsidR="00F462D0" w:rsidRPr="0042152F">
        <w:rPr>
          <w:rFonts w:ascii="Times New Roman" w:hAnsi="Times New Roman" w:cs="Times New Roman"/>
          <w:sz w:val="24"/>
          <w:szCs w:val="24"/>
        </w:rPr>
        <w:t xml:space="preserve"> </w:t>
      </w:r>
      <w:r w:rsidR="00801E3C" w:rsidRPr="0042152F">
        <w:rPr>
          <w:rFonts w:ascii="Times New Roman" w:hAnsi="Times New Roman" w:cs="Times New Roman"/>
          <w:sz w:val="24"/>
          <w:szCs w:val="24"/>
        </w:rPr>
        <w:t xml:space="preserve">the majority-of-minority </w:t>
      </w:r>
      <w:r w:rsidR="00801E3C" w:rsidRPr="0042152F">
        <w:rPr>
          <w:rFonts w:ascii="Times New Roman" w:hAnsi="Times New Roman" w:cs="Times New Roman"/>
          <w:i/>
          <w:iCs/>
          <w:sz w:val="24"/>
          <w:szCs w:val="24"/>
        </w:rPr>
        <w:t>MFW</w:t>
      </w:r>
      <w:r w:rsidR="00801E3C" w:rsidRPr="0042152F">
        <w:rPr>
          <w:rFonts w:ascii="Times New Roman" w:hAnsi="Times New Roman" w:cs="Times New Roman"/>
          <w:sz w:val="24"/>
          <w:szCs w:val="24"/>
        </w:rPr>
        <w:t xml:space="preserve"> condition </w:t>
      </w:r>
      <w:r w:rsidR="00202F75">
        <w:rPr>
          <w:rFonts w:ascii="Times New Roman" w:hAnsi="Times New Roman" w:cs="Times New Roman"/>
          <w:sz w:val="24"/>
          <w:szCs w:val="24"/>
        </w:rPr>
        <w:t>would be</w:t>
      </w:r>
      <w:r w:rsidR="004770D5" w:rsidRPr="0042152F">
        <w:rPr>
          <w:rFonts w:ascii="Times New Roman" w:hAnsi="Times New Roman" w:cs="Times New Roman"/>
          <w:sz w:val="24"/>
          <w:szCs w:val="24"/>
        </w:rPr>
        <w:t xml:space="preserve"> satisfied</w:t>
      </w:r>
      <w:r w:rsidR="00202F75">
        <w:rPr>
          <w:rFonts w:ascii="Times New Roman" w:hAnsi="Times New Roman" w:cs="Times New Roman"/>
          <w:sz w:val="24"/>
          <w:szCs w:val="24"/>
        </w:rPr>
        <w:t>. Any</w:t>
      </w:r>
      <w:r w:rsidR="00202F75" w:rsidRPr="0042152F">
        <w:rPr>
          <w:rFonts w:ascii="Times New Roman" w:hAnsi="Times New Roman" w:cs="Times New Roman"/>
          <w:sz w:val="24"/>
          <w:szCs w:val="24"/>
        </w:rPr>
        <w:t xml:space="preserve"> failure to disclose information about the bargaining process or the independence of the </w:t>
      </w:r>
      <w:r w:rsidR="004829FB" w:rsidRPr="0042152F">
        <w:rPr>
          <w:rFonts w:ascii="Times New Roman" w:hAnsi="Times New Roman" w:cs="Times New Roman"/>
          <w:sz w:val="24"/>
          <w:szCs w:val="24"/>
        </w:rPr>
        <w:t xml:space="preserve">directors </w:t>
      </w:r>
      <w:r w:rsidR="004829FB">
        <w:rPr>
          <w:rFonts w:ascii="Times New Roman" w:hAnsi="Times New Roman" w:cs="Times New Roman"/>
          <w:sz w:val="24"/>
          <w:szCs w:val="24"/>
        </w:rPr>
        <w:t>should</w:t>
      </w:r>
      <w:r w:rsidR="00202F75" w:rsidRPr="0042152F">
        <w:rPr>
          <w:rFonts w:ascii="Times New Roman" w:hAnsi="Times New Roman" w:cs="Times New Roman"/>
          <w:sz w:val="24"/>
          <w:szCs w:val="24"/>
        </w:rPr>
        <w:t xml:space="preserve"> not be a reason to discredit the shareholder vote, so long as the financial terms were </w:t>
      </w:r>
      <w:r w:rsidR="00202F75">
        <w:rPr>
          <w:rFonts w:ascii="Times New Roman" w:hAnsi="Times New Roman" w:cs="Times New Roman"/>
          <w:sz w:val="24"/>
          <w:szCs w:val="24"/>
        </w:rPr>
        <w:t xml:space="preserve">properly </w:t>
      </w:r>
      <w:r w:rsidR="00202F75" w:rsidRPr="0042152F">
        <w:rPr>
          <w:rFonts w:ascii="Times New Roman" w:hAnsi="Times New Roman" w:cs="Times New Roman"/>
          <w:sz w:val="24"/>
          <w:szCs w:val="24"/>
        </w:rPr>
        <w:t xml:space="preserve">disclosed </w:t>
      </w:r>
      <w:r w:rsidR="00202F75" w:rsidRPr="0042152F">
        <w:rPr>
          <w:rFonts w:ascii="Times New Roman" w:hAnsi="Times New Roman" w:cs="Times New Roman"/>
          <w:sz w:val="24"/>
          <w:szCs w:val="24"/>
        </w:rPr>
        <w:lastRenderedPageBreak/>
        <w:t>to the shareholders.</w:t>
      </w:r>
      <w:r w:rsidR="00202F75" w:rsidRPr="0042152F">
        <w:rPr>
          <w:rStyle w:val="FootnoteReference"/>
          <w:rFonts w:ascii="Times New Roman" w:hAnsi="Times New Roman" w:cs="Times New Roman"/>
          <w:sz w:val="24"/>
          <w:szCs w:val="24"/>
        </w:rPr>
        <w:footnoteReference w:id="229"/>
      </w:r>
      <w:r w:rsidR="00202F75">
        <w:rPr>
          <w:rFonts w:ascii="Times New Roman" w:hAnsi="Times New Roman" w:cs="Times New Roman"/>
          <w:sz w:val="24"/>
          <w:szCs w:val="24"/>
        </w:rPr>
        <w:t xml:space="preserve">  And i</w:t>
      </w:r>
      <w:r w:rsidR="00577664" w:rsidRPr="0042152F">
        <w:rPr>
          <w:rFonts w:ascii="Times New Roman" w:hAnsi="Times New Roman" w:cs="Times New Roman"/>
          <w:sz w:val="24"/>
          <w:szCs w:val="24"/>
        </w:rPr>
        <w:t xml:space="preserve">f the transaction was also </w:t>
      </w:r>
      <w:r w:rsidR="003864BE">
        <w:rPr>
          <w:rFonts w:ascii="Times New Roman" w:hAnsi="Times New Roman" w:cs="Times New Roman"/>
          <w:sz w:val="24"/>
          <w:szCs w:val="24"/>
        </w:rPr>
        <w:t xml:space="preserve">properly </w:t>
      </w:r>
      <w:r w:rsidR="00577664" w:rsidRPr="0042152F">
        <w:rPr>
          <w:rFonts w:ascii="Times New Roman" w:hAnsi="Times New Roman" w:cs="Times New Roman"/>
          <w:sz w:val="24"/>
          <w:szCs w:val="24"/>
        </w:rPr>
        <w:t xml:space="preserve">negotiated by </w:t>
      </w:r>
      <w:r w:rsidR="000C1F74" w:rsidRPr="0042152F">
        <w:rPr>
          <w:rFonts w:ascii="Times New Roman" w:hAnsi="Times New Roman" w:cs="Times New Roman"/>
          <w:sz w:val="24"/>
          <w:szCs w:val="24"/>
        </w:rPr>
        <w:t xml:space="preserve">a special committee, </w:t>
      </w:r>
      <w:r w:rsidR="00F462D0" w:rsidRPr="0042152F">
        <w:rPr>
          <w:rFonts w:ascii="Times New Roman" w:hAnsi="Times New Roman" w:cs="Times New Roman"/>
          <w:sz w:val="24"/>
          <w:szCs w:val="24"/>
        </w:rPr>
        <w:t xml:space="preserve">the court should apply the deferential business judgment standard of review. </w:t>
      </w:r>
    </w:p>
    <w:p w14:paraId="49951E79" w14:textId="03B9CCED" w:rsidR="00C0216D" w:rsidRDefault="00343ADC"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O</w:t>
      </w:r>
      <w:r w:rsidRPr="0042152F">
        <w:rPr>
          <w:rFonts w:ascii="Times New Roman" w:hAnsi="Times New Roman" w:cs="Times New Roman"/>
          <w:sz w:val="24"/>
          <w:szCs w:val="24"/>
          <w:lang w:bidi="he-IL"/>
        </w:rPr>
        <w:t xml:space="preserve">ur </w:t>
      </w:r>
      <w:r w:rsidR="00257829" w:rsidRPr="0042152F">
        <w:rPr>
          <w:rFonts w:ascii="Times New Roman" w:hAnsi="Times New Roman" w:cs="Times New Roman"/>
          <w:sz w:val="24"/>
          <w:szCs w:val="24"/>
          <w:lang w:bidi="he-IL"/>
        </w:rPr>
        <w:t xml:space="preserve">proposal </w:t>
      </w:r>
      <w:r w:rsidRPr="0042152F">
        <w:rPr>
          <w:rFonts w:ascii="Times New Roman" w:hAnsi="Times New Roman" w:cs="Times New Roman"/>
          <w:sz w:val="24"/>
          <w:szCs w:val="24"/>
          <w:lang w:bidi="he-IL"/>
        </w:rPr>
        <w:t xml:space="preserve">offers several advantages. First, </w:t>
      </w:r>
      <w:r w:rsidR="008D4DCF">
        <w:rPr>
          <w:rFonts w:ascii="Times New Roman" w:hAnsi="Times New Roman" w:cs="Times New Roman"/>
          <w:sz w:val="24"/>
          <w:szCs w:val="24"/>
        </w:rPr>
        <w:t>it</w:t>
      </w:r>
      <w:r w:rsidR="008D4DCF" w:rsidRPr="0042152F">
        <w:rPr>
          <w:rFonts w:ascii="Times New Roman" w:hAnsi="Times New Roman" w:cs="Times New Roman"/>
          <w:sz w:val="24"/>
          <w:szCs w:val="24"/>
        </w:rPr>
        <w:t xml:space="preserve"> respects the independent nature </w:t>
      </w:r>
      <w:r w:rsidR="003936FF">
        <w:rPr>
          <w:rFonts w:ascii="Times New Roman" w:hAnsi="Times New Roman" w:cs="Times New Roman"/>
          <w:sz w:val="24"/>
          <w:szCs w:val="24"/>
        </w:rPr>
        <w:t xml:space="preserve">of </w:t>
      </w:r>
      <w:r w:rsidR="003936FF" w:rsidRPr="00952A82">
        <w:rPr>
          <w:rFonts w:ascii="Times New Roman" w:hAnsi="Times New Roman" w:cs="Times New Roman"/>
          <w:i/>
          <w:iCs/>
          <w:sz w:val="24"/>
          <w:szCs w:val="24"/>
        </w:rPr>
        <w:t>MFW</w:t>
      </w:r>
      <w:r w:rsidR="003936FF">
        <w:rPr>
          <w:rFonts w:ascii="Times New Roman" w:hAnsi="Times New Roman" w:cs="Times New Roman"/>
          <w:sz w:val="24"/>
          <w:szCs w:val="24"/>
        </w:rPr>
        <w:t>’s</w:t>
      </w:r>
      <w:r w:rsidR="008D4DCF" w:rsidRPr="0042152F">
        <w:rPr>
          <w:rFonts w:ascii="Times New Roman" w:hAnsi="Times New Roman" w:cs="Times New Roman"/>
          <w:sz w:val="24"/>
          <w:szCs w:val="24"/>
        </w:rPr>
        <w:t xml:space="preserve"> dual cleansing mechanisms in a way that is consistent with </w:t>
      </w:r>
      <w:r w:rsidR="003936FF">
        <w:rPr>
          <w:rFonts w:ascii="Times New Roman" w:hAnsi="Times New Roman" w:cs="Times New Roman"/>
          <w:sz w:val="24"/>
          <w:szCs w:val="24"/>
        </w:rPr>
        <w:t xml:space="preserve">the </w:t>
      </w:r>
      <w:r w:rsidR="005343AB">
        <w:rPr>
          <w:rFonts w:ascii="Times New Roman" w:hAnsi="Times New Roman" w:cs="Times New Roman"/>
          <w:sz w:val="24"/>
          <w:szCs w:val="24"/>
        </w:rPr>
        <w:t xml:space="preserve">rationale underlying </w:t>
      </w:r>
      <w:r w:rsidR="008D4DCF" w:rsidRPr="0042152F">
        <w:rPr>
          <w:rFonts w:ascii="Times New Roman" w:hAnsi="Times New Roman" w:cs="Times New Roman"/>
          <w:sz w:val="24"/>
          <w:szCs w:val="24"/>
        </w:rPr>
        <w:t xml:space="preserve">Delaware caselaw. </w:t>
      </w:r>
      <w:r w:rsidR="00106E76">
        <w:rPr>
          <w:rFonts w:ascii="Times New Roman" w:hAnsi="Times New Roman" w:cs="Times New Roman"/>
          <w:sz w:val="24"/>
          <w:szCs w:val="24"/>
        </w:rPr>
        <w:t>D</w:t>
      </w:r>
      <w:r w:rsidR="00E52416">
        <w:rPr>
          <w:rFonts w:ascii="Times New Roman" w:hAnsi="Times New Roman" w:cs="Times New Roman"/>
          <w:sz w:val="24"/>
          <w:szCs w:val="24"/>
        </w:rPr>
        <w:t>isinterested shareholder</w:t>
      </w:r>
      <w:r w:rsidR="00106E76">
        <w:rPr>
          <w:rFonts w:ascii="Times New Roman" w:hAnsi="Times New Roman" w:cs="Times New Roman"/>
          <w:sz w:val="24"/>
          <w:szCs w:val="24"/>
        </w:rPr>
        <w:t xml:space="preserve"> approval</w:t>
      </w:r>
      <w:r w:rsidR="00E52416">
        <w:rPr>
          <w:rFonts w:ascii="Times New Roman" w:hAnsi="Times New Roman" w:cs="Times New Roman"/>
          <w:sz w:val="24"/>
          <w:szCs w:val="24"/>
        </w:rPr>
        <w:t xml:space="preserve"> </w:t>
      </w:r>
      <w:r w:rsidR="00A26447">
        <w:rPr>
          <w:rFonts w:ascii="Times New Roman" w:hAnsi="Times New Roman" w:cs="Times New Roman"/>
          <w:sz w:val="24"/>
          <w:szCs w:val="24"/>
        </w:rPr>
        <w:t xml:space="preserve">based on all material information concerning the economic terms of the transaction is </w:t>
      </w:r>
      <w:r w:rsidR="009518FF">
        <w:rPr>
          <w:rFonts w:ascii="Times New Roman" w:hAnsi="Times New Roman" w:cs="Times New Roman"/>
          <w:sz w:val="24"/>
          <w:szCs w:val="24"/>
        </w:rPr>
        <w:t xml:space="preserve">an important </w:t>
      </w:r>
      <w:r w:rsidR="008E3410">
        <w:rPr>
          <w:rFonts w:ascii="Times New Roman" w:hAnsi="Times New Roman" w:cs="Times New Roman"/>
          <w:sz w:val="24"/>
          <w:szCs w:val="24"/>
        </w:rPr>
        <w:t xml:space="preserve">indication of fairness. </w:t>
      </w:r>
      <w:r w:rsidR="001C4116">
        <w:rPr>
          <w:rFonts w:ascii="Times New Roman" w:hAnsi="Times New Roman" w:cs="Times New Roman"/>
          <w:sz w:val="24"/>
          <w:szCs w:val="24"/>
        </w:rPr>
        <w:t>Consider, for example, a controller that, from the outset, decides to subject a self-dealing transaction to a vote by disinterested shareholders</w:t>
      </w:r>
      <w:r w:rsidR="00E57AFA">
        <w:rPr>
          <w:rFonts w:ascii="Times New Roman" w:hAnsi="Times New Roman" w:cs="Times New Roman"/>
          <w:sz w:val="24"/>
          <w:szCs w:val="24"/>
        </w:rPr>
        <w:t xml:space="preserve"> but</w:t>
      </w:r>
      <w:r w:rsidR="004A2CF2">
        <w:rPr>
          <w:rFonts w:ascii="Times New Roman" w:hAnsi="Times New Roman" w:cs="Times New Roman"/>
          <w:sz w:val="24"/>
          <w:szCs w:val="24"/>
        </w:rPr>
        <w:t xml:space="preserve"> does</w:t>
      </w:r>
      <w:r w:rsidR="00E57AFA">
        <w:rPr>
          <w:rFonts w:ascii="Times New Roman" w:hAnsi="Times New Roman" w:cs="Times New Roman"/>
          <w:sz w:val="24"/>
          <w:szCs w:val="24"/>
        </w:rPr>
        <w:t xml:space="preserve"> not use a special committee to negotiate the transaction. Under both pre-</w:t>
      </w:r>
      <w:r w:rsidR="00E57AFA" w:rsidRPr="00952A82">
        <w:rPr>
          <w:rFonts w:ascii="Times New Roman" w:hAnsi="Times New Roman" w:cs="Times New Roman"/>
          <w:i/>
          <w:iCs/>
          <w:sz w:val="24"/>
          <w:szCs w:val="24"/>
        </w:rPr>
        <w:t>MFW</w:t>
      </w:r>
      <w:r w:rsidR="00E57AFA">
        <w:rPr>
          <w:rFonts w:ascii="Times New Roman" w:hAnsi="Times New Roman" w:cs="Times New Roman"/>
          <w:sz w:val="24"/>
          <w:szCs w:val="24"/>
        </w:rPr>
        <w:t xml:space="preserve"> </w:t>
      </w:r>
      <w:r w:rsidR="00E65A7D">
        <w:rPr>
          <w:rFonts w:ascii="Times New Roman" w:hAnsi="Times New Roman" w:cs="Times New Roman"/>
          <w:sz w:val="24"/>
          <w:szCs w:val="24"/>
        </w:rPr>
        <w:t xml:space="preserve">case law and </w:t>
      </w:r>
      <w:r w:rsidR="00E65A7D" w:rsidRPr="00952A82">
        <w:rPr>
          <w:rFonts w:ascii="Times New Roman" w:hAnsi="Times New Roman" w:cs="Times New Roman"/>
          <w:i/>
          <w:iCs/>
          <w:sz w:val="24"/>
          <w:szCs w:val="24"/>
        </w:rPr>
        <w:t>MFW</w:t>
      </w:r>
      <w:r w:rsidR="00E65A7D">
        <w:rPr>
          <w:rFonts w:ascii="Times New Roman" w:hAnsi="Times New Roman" w:cs="Times New Roman"/>
          <w:sz w:val="24"/>
          <w:szCs w:val="24"/>
        </w:rPr>
        <w:t xml:space="preserve">, this </w:t>
      </w:r>
      <w:r w:rsidR="008B7B6B">
        <w:rPr>
          <w:rFonts w:ascii="Times New Roman" w:hAnsi="Times New Roman" w:cs="Times New Roman"/>
          <w:sz w:val="24"/>
          <w:szCs w:val="24"/>
        </w:rPr>
        <w:t xml:space="preserve">approval </w:t>
      </w:r>
      <w:r w:rsidR="00E65A7D">
        <w:rPr>
          <w:rFonts w:ascii="Times New Roman" w:hAnsi="Times New Roman" w:cs="Times New Roman"/>
          <w:sz w:val="24"/>
          <w:szCs w:val="24"/>
        </w:rPr>
        <w:t xml:space="preserve">would </w:t>
      </w:r>
      <w:r w:rsidR="009F65FA">
        <w:rPr>
          <w:rFonts w:ascii="Times New Roman" w:hAnsi="Times New Roman" w:cs="Times New Roman"/>
          <w:sz w:val="24"/>
          <w:szCs w:val="24"/>
        </w:rPr>
        <w:t xml:space="preserve">shift the burden </w:t>
      </w:r>
      <w:r w:rsidR="00DF06D4">
        <w:rPr>
          <w:rFonts w:ascii="Times New Roman" w:hAnsi="Times New Roman" w:cs="Times New Roman"/>
          <w:sz w:val="24"/>
          <w:szCs w:val="24"/>
        </w:rPr>
        <w:t>to the plaintiff to prove that the transaction was unfair.</w:t>
      </w:r>
    </w:p>
    <w:p w14:paraId="6393EF60" w14:textId="2EF7E2F9" w:rsidR="004F375D" w:rsidRDefault="004F375D"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952A82">
        <w:rPr>
          <w:rFonts w:ascii="Times New Roman" w:hAnsi="Times New Roman" w:cs="Times New Roman"/>
          <w:i/>
          <w:iCs/>
          <w:sz w:val="24"/>
          <w:szCs w:val="24"/>
        </w:rPr>
        <w:t>MFW</w:t>
      </w:r>
      <w:r>
        <w:rPr>
          <w:rFonts w:ascii="Times New Roman" w:hAnsi="Times New Roman" w:cs="Times New Roman"/>
          <w:sz w:val="24"/>
          <w:szCs w:val="24"/>
        </w:rPr>
        <w:t xml:space="preserve"> framework was </w:t>
      </w:r>
      <w:r w:rsidR="00CA751D">
        <w:rPr>
          <w:rFonts w:ascii="Times New Roman" w:hAnsi="Times New Roman" w:cs="Times New Roman"/>
          <w:sz w:val="24"/>
          <w:szCs w:val="24"/>
        </w:rPr>
        <w:t xml:space="preserve">designed to encourage controllers to </w:t>
      </w:r>
      <w:r w:rsidR="00BD5B71">
        <w:rPr>
          <w:rFonts w:ascii="Times New Roman" w:hAnsi="Times New Roman" w:cs="Times New Roman"/>
          <w:sz w:val="24"/>
          <w:szCs w:val="24"/>
        </w:rPr>
        <w:t xml:space="preserve">combine this cleansing mechanism with </w:t>
      </w:r>
      <w:r w:rsidR="009A4001">
        <w:rPr>
          <w:rFonts w:ascii="Times New Roman" w:hAnsi="Times New Roman" w:cs="Times New Roman"/>
          <w:sz w:val="24"/>
          <w:szCs w:val="24"/>
        </w:rPr>
        <w:t xml:space="preserve">the </w:t>
      </w:r>
      <w:r w:rsidR="008B7B6B">
        <w:rPr>
          <w:rFonts w:ascii="Times New Roman" w:hAnsi="Times New Roman" w:cs="Times New Roman"/>
          <w:sz w:val="24"/>
          <w:szCs w:val="24"/>
        </w:rPr>
        <w:t xml:space="preserve">use of a </w:t>
      </w:r>
      <w:r w:rsidR="009A4001">
        <w:rPr>
          <w:rFonts w:ascii="Times New Roman" w:hAnsi="Times New Roman" w:cs="Times New Roman"/>
          <w:sz w:val="24"/>
          <w:szCs w:val="24"/>
        </w:rPr>
        <w:t xml:space="preserve">special committee. </w:t>
      </w:r>
      <w:r w:rsidR="008B7B6B">
        <w:rPr>
          <w:rFonts w:ascii="Times New Roman" w:hAnsi="Times New Roman" w:cs="Times New Roman"/>
          <w:sz w:val="24"/>
          <w:szCs w:val="24"/>
        </w:rPr>
        <w:t xml:space="preserve">And the failure </w:t>
      </w:r>
      <w:r w:rsidR="009A4001">
        <w:rPr>
          <w:rFonts w:ascii="Times New Roman" w:hAnsi="Times New Roman" w:cs="Times New Roman"/>
          <w:sz w:val="24"/>
          <w:szCs w:val="24"/>
        </w:rPr>
        <w:t>of the special committee</w:t>
      </w:r>
      <w:r w:rsidR="00475158">
        <w:rPr>
          <w:rFonts w:ascii="Times New Roman" w:hAnsi="Times New Roman" w:cs="Times New Roman"/>
          <w:sz w:val="24"/>
          <w:szCs w:val="24"/>
        </w:rPr>
        <w:t xml:space="preserve"> (including failure to disclose information about the special committee)</w:t>
      </w:r>
      <w:r w:rsidR="008B7B6B">
        <w:rPr>
          <w:rFonts w:ascii="Times New Roman" w:hAnsi="Times New Roman" w:cs="Times New Roman"/>
          <w:sz w:val="24"/>
          <w:szCs w:val="24"/>
        </w:rPr>
        <w:t xml:space="preserve"> </w:t>
      </w:r>
      <w:r w:rsidR="00F476CC">
        <w:rPr>
          <w:rFonts w:ascii="Times New Roman" w:hAnsi="Times New Roman" w:cs="Times New Roman"/>
          <w:sz w:val="24"/>
          <w:szCs w:val="24"/>
        </w:rPr>
        <w:t xml:space="preserve">should </w:t>
      </w:r>
      <w:r w:rsidR="00530895">
        <w:rPr>
          <w:rFonts w:ascii="Times New Roman" w:hAnsi="Times New Roman" w:cs="Times New Roman"/>
          <w:sz w:val="24"/>
          <w:szCs w:val="24"/>
        </w:rPr>
        <w:t>not mean that the other cleansing mechanism</w:t>
      </w:r>
      <w:r w:rsidR="002631C5">
        <w:rPr>
          <w:rFonts w:ascii="Times New Roman" w:hAnsi="Times New Roman" w:cs="Times New Roman"/>
          <w:sz w:val="24"/>
          <w:szCs w:val="24"/>
        </w:rPr>
        <w:t>—the disinterested shareholder vote—</w:t>
      </w:r>
      <w:r w:rsidR="00530895">
        <w:rPr>
          <w:rFonts w:ascii="Times New Roman" w:hAnsi="Times New Roman" w:cs="Times New Roman"/>
          <w:sz w:val="24"/>
          <w:szCs w:val="24"/>
        </w:rPr>
        <w:t>should</w:t>
      </w:r>
      <w:r w:rsidR="008B7B6B">
        <w:rPr>
          <w:rFonts w:ascii="Times New Roman" w:hAnsi="Times New Roman" w:cs="Times New Roman"/>
          <w:sz w:val="24"/>
          <w:szCs w:val="24"/>
        </w:rPr>
        <w:t xml:space="preserve"> also</w:t>
      </w:r>
      <w:r w:rsidR="00530895">
        <w:rPr>
          <w:rFonts w:ascii="Times New Roman" w:hAnsi="Times New Roman" w:cs="Times New Roman"/>
          <w:sz w:val="24"/>
          <w:szCs w:val="24"/>
        </w:rPr>
        <w:t xml:space="preserve"> be disregarded.</w:t>
      </w:r>
    </w:p>
    <w:p w14:paraId="2F7DA8A1" w14:textId="1B9799E8" w:rsidR="00DC3D0F" w:rsidRDefault="00DC3D0F"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42152F">
        <w:rPr>
          <w:rFonts w:ascii="Times New Roman" w:hAnsi="Times New Roman" w:cs="Times New Roman"/>
          <w:sz w:val="24"/>
          <w:szCs w:val="24"/>
        </w:rPr>
        <w:t xml:space="preserve">he existing regime leads to another problematic outcome. </w:t>
      </w:r>
      <w:r w:rsidR="00F50ACA">
        <w:rPr>
          <w:rFonts w:ascii="Times New Roman" w:hAnsi="Times New Roman" w:cs="Times New Roman"/>
          <w:sz w:val="24"/>
          <w:szCs w:val="24"/>
        </w:rPr>
        <w:t xml:space="preserve">The bar for </w:t>
      </w:r>
      <w:r w:rsidR="0019004F">
        <w:rPr>
          <w:rFonts w:ascii="Times New Roman" w:hAnsi="Times New Roman" w:cs="Times New Roman"/>
          <w:sz w:val="24"/>
          <w:szCs w:val="24"/>
        </w:rPr>
        <w:t xml:space="preserve">a direct </w:t>
      </w:r>
      <w:r w:rsidR="007B7E01">
        <w:rPr>
          <w:rFonts w:ascii="Times New Roman" w:hAnsi="Times New Roman" w:cs="Times New Roman"/>
          <w:sz w:val="24"/>
          <w:szCs w:val="24"/>
        </w:rPr>
        <w:t>challeng</w:t>
      </w:r>
      <w:r w:rsidR="0019004F">
        <w:rPr>
          <w:rFonts w:ascii="Times New Roman" w:hAnsi="Times New Roman" w:cs="Times New Roman"/>
          <w:sz w:val="24"/>
          <w:szCs w:val="24"/>
        </w:rPr>
        <w:t>e</w:t>
      </w:r>
      <w:r w:rsidRPr="0042152F">
        <w:rPr>
          <w:rFonts w:ascii="Times New Roman" w:hAnsi="Times New Roman" w:cs="Times New Roman"/>
          <w:sz w:val="24"/>
          <w:szCs w:val="24"/>
        </w:rPr>
        <w:t xml:space="preserve"> </w:t>
      </w:r>
      <w:r w:rsidR="00970DA4">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42152F">
        <w:rPr>
          <w:rFonts w:ascii="Times New Roman" w:hAnsi="Times New Roman" w:cs="Times New Roman"/>
          <w:sz w:val="24"/>
          <w:szCs w:val="24"/>
        </w:rPr>
        <w:t>special committee</w:t>
      </w:r>
      <w:r w:rsidR="0035729E">
        <w:rPr>
          <w:rFonts w:ascii="Times New Roman" w:hAnsi="Times New Roman" w:cs="Times New Roman"/>
          <w:sz w:val="24"/>
          <w:szCs w:val="24"/>
        </w:rPr>
        <w:t xml:space="preserve">’s process </w:t>
      </w:r>
      <w:r w:rsidR="00F50ACA">
        <w:rPr>
          <w:rFonts w:ascii="Times New Roman" w:hAnsi="Times New Roman" w:cs="Times New Roman"/>
          <w:sz w:val="24"/>
          <w:szCs w:val="24"/>
        </w:rPr>
        <w:t>is high</w:t>
      </w:r>
      <w:r w:rsidR="0019004F">
        <w:rPr>
          <w:rFonts w:ascii="Times New Roman" w:hAnsi="Times New Roman" w:cs="Times New Roman"/>
          <w:sz w:val="24"/>
          <w:szCs w:val="24"/>
        </w:rPr>
        <w:t xml:space="preserve"> and</w:t>
      </w:r>
      <w:r w:rsidR="0035729E">
        <w:rPr>
          <w:rFonts w:ascii="Times New Roman" w:hAnsi="Times New Roman" w:cs="Times New Roman"/>
          <w:sz w:val="24"/>
          <w:szCs w:val="24"/>
        </w:rPr>
        <w:t xml:space="preserve"> can only be done </w:t>
      </w:r>
      <w:r w:rsidRPr="0042152F">
        <w:rPr>
          <w:rFonts w:ascii="Times New Roman" w:hAnsi="Times New Roman" w:cs="Times New Roman"/>
          <w:sz w:val="24"/>
          <w:szCs w:val="24"/>
        </w:rPr>
        <w:t>if the board acts with gross negligence</w:t>
      </w:r>
      <w:r w:rsidR="00F50ACA">
        <w:rPr>
          <w:rFonts w:ascii="Times New Roman" w:hAnsi="Times New Roman" w:cs="Times New Roman"/>
          <w:sz w:val="24"/>
          <w:szCs w:val="24"/>
        </w:rPr>
        <w:t>.</w:t>
      </w:r>
      <w:r w:rsidR="0035729E" w:rsidRPr="0042152F">
        <w:rPr>
          <w:rStyle w:val="FootnoteReference"/>
          <w:rFonts w:ascii="Times New Roman" w:hAnsi="Times New Roman" w:cs="Times New Roman"/>
          <w:sz w:val="24"/>
          <w:szCs w:val="24"/>
        </w:rPr>
        <w:footnoteReference w:id="230"/>
      </w:r>
      <w:r w:rsidR="00F50ACA">
        <w:rPr>
          <w:rFonts w:ascii="Times New Roman" w:hAnsi="Times New Roman" w:cs="Times New Roman"/>
          <w:sz w:val="24"/>
          <w:szCs w:val="24"/>
        </w:rPr>
        <w:t xml:space="preserve">  Therefore, litigants and courts may be attempting </w:t>
      </w:r>
      <w:r w:rsidR="00F50ACA" w:rsidRPr="0042152F">
        <w:rPr>
          <w:rFonts w:ascii="Times New Roman" w:hAnsi="Times New Roman" w:cs="Times New Roman"/>
          <w:sz w:val="24"/>
          <w:szCs w:val="24"/>
        </w:rPr>
        <w:t>to improve the special committee process via the shareholder disclosure requirement</w:t>
      </w:r>
      <w:r w:rsidR="003D1D82">
        <w:rPr>
          <w:rFonts w:ascii="Times New Roman" w:hAnsi="Times New Roman" w:cs="Times New Roman"/>
          <w:sz w:val="24"/>
          <w:szCs w:val="24"/>
        </w:rPr>
        <w:t xml:space="preserve">. Under the current regime, courts could find that the special committee acted adequately (i.e., was not grossly negligent), but that the shareholder vote was undermined due to incomplete disclosure about the committee’s process, all </w:t>
      </w:r>
      <w:r w:rsidR="0054095F" w:rsidRPr="00970DA4">
        <w:rPr>
          <w:rFonts w:ascii="Times New Roman" w:hAnsi="Times New Roman" w:cs="Times New Roman"/>
          <w:sz w:val="24"/>
          <w:szCs w:val="24"/>
        </w:rPr>
        <w:t>presumably</w:t>
      </w:r>
      <w:r w:rsidR="0054095F">
        <w:rPr>
          <w:rFonts w:ascii="Times New Roman" w:hAnsi="Times New Roman" w:cs="Times New Roman"/>
          <w:sz w:val="24"/>
          <w:szCs w:val="24"/>
        </w:rPr>
        <w:t xml:space="preserve"> </w:t>
      </w:r>
      <w:r w:rsidR="003D1D82">
        <w:rPr>
          <w:rFonts w:ascii="Times New Roman" w:hAnsi="Times New Roman" w:cs="Times New Roman"/>
          <w:sz w:val="24"/>
          <w:szCs w:val="24"/>
        </w:rPr>
        <w:t xml:space="preserve">with the goal of pushing the committee to </w:t>
      </w:r>
      <w:r w:rsidR="0019004F">
        <w:rPr>
          <w:rFonts w:ascii="Times New Roman" w:hAnsi="Times New Roman" w:cs="Times New Roman"/>
          <w:sz w:val="24"/>
          <w:szCs w:val="24"/>
        </w:rPr>
        <w:t>do better</w:t>
      </w:r>
      <w:r w:rsidR="003D1D82">
        <w:rPr>
          <w:rFonts w:ascii="Times New Roman" w:hAnsi="Times New Roman" w:cs="Times New Roman"/>
          <w:sz w:val="24"/>
          <w:szCs w:val="24"/>
        </w:rPr>
        <w:t>. But if</w:t>
      </w:r>
      <w:r w:rsidR="00F50ACA">
        <w:rPr>
          <w:rFonts w:ascii="Times New Roman" w:hAnsi="Times New Roman" w:cs="Times New Roman"/>
          <w:sz w:val="24"/>
          <w:szCs w:val="24"/>
        </w:rPr>
        <w:t xml:space="preserve"> </w:t>
      </w:r>
      <w:r w:rsidRPr="0042152F">
        <w:rPr>
          <w:rFonts w:ascii="Times New Roman" w:hAnsi="Times New Roman" w:cs="Times New Roman"/>
          <w:sz w:val="24"/>
          <w:szCs w:val="24"/>
        </w:rPr>
        <w:t>the goal is to</w:t>
      </w:r>
      <w:r w:rsidR="00F214DD">
        <w:rPr>
          <w:rFonts w:ascii="Times New Roman" w:hAnsi="Times New Roman" w:cs="Times New Roman"/>
          <w:sz w:val="24"/>
          <w:szCs w:val="24"/>
        </w:rPr>
        <w:t xml:space="preserve"> hold</w:t>
      </w:r>
      <w:r w:rsidRPr="0042152F">
        <w:rPr>
          <w:rFonts w:ascii="Times New Roman" w:hAnsi="Times New Roman" w:cs="Times New Roman"/>
          <w:sz w:val="24"/>
          <w:szCs w:val="24"/>
        </w:rPr>
        <w:t xml:space="preserve"> special committees to</w:t>
      </w:r>
      <w:r w:rsidR="00F214DD">
        <w:rPr>
          <w:rFonts w:ascii="Times New Roman" w:hAnsi="Times New Roman" w:cs="Times New Roman"/>
          <w:sz w:val="24"/>
          <w:szCs w:val="24"/>
        </w:rPr>
        <w:t xml:space="preserve"> a higher standard</w:t>
      </w:r>
      <w:r w:rsidRPr="0042152F">
        <w:rPr>
          <w:rFonts w:ascii="Times New Roman" w:hAnsi="Times New Roman" w:cs="Times New Roman"/>
          <w:sz w:val="24"/>
          <w:szCs w:val="24"/>
        </w:rPr>
        <w:t xml:space="preserve">, then a better approach would be to alter the standard for the special committee condition under </w:t>
      </w:r>
      <w:r w:rsidRPr="0042152F">
        <w:rPr>
          <w:rFonts w:ascii="Times New Roman" w:hAnsi="Times New Roman" w:cs="Times New Roman"/>
          <w:i/>
          <w:iCs/>
          <w:sz w:val="24"/>
          <w:szCs w:val="24"/>
        </w:rPr>
        <w:t>MFW</w:t>
      </w:r>
      <w:r w:rsidRPr="0042152F">
        <w:rPr>
          <w:rFonts w:ascii="Times New Roman" w:hAnsi="Times New Roman" w:cs="Times New Roman"/>
          <w:sz w:val="24"/>
          <w:szCs w:val="24"/>
        </w:rPr>
        <w:t xml:space="preserve"> directly, so that a committee</w:t>
      </w:r>
      <w:r w:rsidR="004251D7">
        <w:rPr>
          <w:rFonts w:ascii="Times New Roman" w:hAnsi="Times New Roman" w:cs="Times New Roman"/>
          <w:sz w:val="24"/>
          <w:szCs w:val="24"/>
        </w:rPr>
        <w:t xml:space="preserve"> with weak procedural safeguards</w:t>
      </w:r>
      <w:r w:rsidRPr="0042152F">
        <w:rPr>
          <w:rFonts w:ascii="Times New Roman" w:hAnsi="Times New Roman" w:cs="Times New Roman"/>
          <w:sz w:val="24"/>
          <w:szCs w:val="24"/>
        </w:rPr>
        <w:t xml:space="preserve"> does not </w:t>
      </w:r>
      <w:r w:rsidR="00EA7CFB">
        <w:rPr>
          <w:rFonts w:ascii="Times New Roman" w:hAnsi="Times New Roman" w:cs="Times New Roman"/>
          <w:sz w:val="24"/>
          <w:szCs w:val="24"/>
        </w:rPr>
        <w:t xml:space="preserve">satisfy </w:t>
      </w:r>
      <w:r w:rsidR="003D1D82" w:rsidRPr="002A5C77">
        <w:rPr>
          <w:rFonts w:ascii="Times New Roman" w:hAnsi="Times New Roman" w:cs="Times New Roman"/>
          <w:i/>
          <w:iCs/>
          <w:sz w:val="24"/>
          <w:szCs w:val="24"/>
        </w:rPr>
        <w:t>MFW</w:t>
      </w:r>
      <w:r w:rsidRPr="0042152F">
        <w:rPr>
          <w:rFonts w:ascii="Times New Roman" w:hAnsi="Times New Roman" w:cs="Times New Roman"/>
          <w:sz w:val="24"/>
          <w:szCs w:val="24"/>
        </w:rPr>
        <w:t xml:space="preserve">. </w:t>
      </w:r>
    </w:p>
    <w:p w14:paraId="028BF1C4" w14:textId="1E469A3E" w:rsidR="006C1989" w:rsidRDefault="0019004F"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second advantage of our proposal is that it recognizes that</w:t>
      </w:r>
      <w:r w:rsidR="00667FCB" w:rsidRPr="0042152F">
        <w:rPr>
          <w:rFonts w:ascii="Times New Roman" w:hAnsi="Times New Roman" w:cs="Times New Roman"/>
          <w:sz w:val="24"/>
          <w:szCs w:val="24"/>
        </w:rPr>
        <w:t xml:space="preserve"> the </w:t>
      </w:r>
      <w:r w:rsidR="00624869" w:rsidRPr="0042152F">
        <w:rPr>
          <w:rFonts w:ascii="Times New Roman" w:hAnsi="Times New Roman" w:cs="Times New Roman"/>
          <w:sz w:val="24"/>
          <w:szCs w:val="24"/>
        </w:rPr>
        <w:t>shareholder vote is the critical lodestar for fairness</w:t>
      </w:r>
      <w:r w:rsidR="00A43EFF" w:rsidRPr="0042152F">
        <w:rPr>
          <w:rFonts w:ascii="Times New Roman" w:hAnsi="Times New Roman" w:cs="Times New Roman"/>
          <w:sz w:val="24"/>
          <w:szCs w:val="24"/>
        </w:rPr>
        <w:t xml:space="preserve"> when idiosyncratic vision is at stake</w:t>
      </w:r>
      <w:r w:rsidR="00624869" w:rsidRPr="0042152F">
        <w:rPr>
          <w:rFonts w:ascii="Times New Roman" w:hAnsi="Times New Roman" w:cs="Times New Roman"/>
          <w:sz w:val="24"/>
          <w:szCs w:val="24"/>
        </w:rPr>
        <w:t xml:space="preserve">. </w:t>
      </w:r>
      <w:r w:rsidR="00B07D22" w:rsidRPr="0042152F">
        <w:rPr>
          <w:rFonts w:ascii="Times New Roman" w:hAnsi="Times New Roman" w:cs="Times New Roman"/>
          <w:sz w:val="24"/>
          <w:szCs w:val="24"/>
        </w:rPr>
        <w:t xml:space="preserve">As the previous Part revealed, the inability to value vision complicates the special committee’s job; it also </w:t>
      </w:r>
      <w:r w:rsidR="00B07D22" w:rsidRPr="0042152F">
        <w:rPr>
          <w:rFonts w:ascii="Times New Roman" w:eastAsia="NewBaskervilleITCPro-Roman" w:hAnsi="Times New Roman" w:cs="Times New Roman"/>
          <w:kern w:val="0"/>
          <w:sz w:val="24"/>
          <w:szCs w:val="24"/>
        </w:rPr>
        <w:t xml:space="preserve">renders the court’s review of the committee process challenging as well. </w:t>
      </w:r>
      <w:r w:rsidR="00B07D22" w:rsidRPr="0042152F">
        <w:rPr>
          <w:rFonts w:ascii="Times New Roman" w:hAnsi="Times New Roman" w:cs="Times New Roman"/>
          <w:sz w:val="24"/>
          <w:szCs w:val="24"/>
        </w:rPr>
        <w:t xml:space="preserve">But unlike independent directors or courts, </w:t>
      </w:r>
      <w:r w:rsidR="00B07D22" w:rsidRPr="0042152F">
        <w:rPr>
          <w:rFonts w:ascii="Times New Roman" w:hAnsi="Times New Roman" w:cs="Times New Roman"/>
          <w:sz w:val="24"/>
          <w:szCs w:val="24"/>
        </w:rPr>
        <w:lastRenderedPageBreak/>
        <w:t xml:space="preserve">shareholders’ competence to determine the value of vision does not depend on the availability </w:t>
      </w:r>
      <w:r w:rsidR="00F7433E">
        <w:rPr>
          <w:rFonts w:ascii="Times New Roman" w:hAnsi="Times New Roman" w:cs="Times New Roman"/>
          <w:sz w:val="24"/>
          <w:szCs w:val="24"/>
        </w:rPr>
        <w:t xml:space="preserve">of </w:t>
      </w:r>
      <w:r w:rsidR="00B07D22" w:rsidRPr="0042152F">
        <w:rPr>
          <w:rFonts w:ascii="Times New Roman" w:hAnsi="Times New Roman" w:cs="Times New Roman"/>
          <w:sz w:val="24"/>
          <w:szCs w:val="24"/>
        </w:rPr>
        <w:t>an objective valuation model.</w:t>
      </w:r>
      <w:r w:rsidR="00B07D22">
        <w:rPr>
          <w:rFonts w:ascii="Times New Roman" w:hAnsi="Times New Roman" w:cs="Times New Roman"/>
          <w:sz w:val="24"/>
          <w:szCs w:val="24"/>
        </w:rPr>
        <w:t xml:space="preserve"> </w:t>
      </w:r>
      <w:r w:rsidR="00720626" w:rsidRPr="0042152F">
        <w:rPr>
          <w:rFonts w:ascii="Times New Roman" w:hAnsi="Times New Roman" w:cs="Times New Roman"/>
          <w:sz w:val="24"/>
          <w:szCs w:val="24"/>
        </w:rPr>
        <w:t xml:space="preserve">The main driver of the minority shareholders’ willingness to approve the proposed transaction is their </w:t>
      </w:r>
      <w:r w:rsidR="006C0667">
        <w:rPr>
          <w:rFonts w:ascii="Times New Roman" w:hAnsi="Times New Roman" w:cs="Times New Roman"/>
          <w:sz w:val="24"/>
          <w:szCs w:val="24"/>
        </w:rPr>
        <w:t>subjective assessment</w:t>
      </w:r>
      <w:r w:rsidR="006C0667" w:rsidRPr="0042152F">
        <w:rPr>
          <w:rFonts w:ascii="Times New Roman" w:hAnsi="Times New Roman" w:cs="Times New Roman"/>
          <w:sz w:val="24"/>
          <w:szCs w:val="24"/>
        </w:rPr>
        <w:t xml:space="preserve"> </w:t>
      </w:r>
      <w:r w:rsidR="00720626" w:rsidRPr="0042152F">
        <w:rPr>
          <w:rFonts w:ascii="Times New Roman" w:hAnsi="Times New Roman" w:cs="Times New Roman"/>
          <w:sz w:val="24"/>
          <w:szCs w:val="24"/>
        </w:rPr>
        <w:t>of the controller’s idiosyncratic vision.</w:t>
      </w:r>
      <w:r w:rsidR="00417005" w:rsidRPr="0042152F">
        <w:rPr>
          <w:rStyle w:val="FootnoteReference"/>
          <w:rFonts w:ascii="Times New Roman" w:hAnsi="Times New Roman" w:cs="Times New Roman"/>
          <w:sz w:val="24"/>
          <w:szCs w:val="24"/>
        </w:rPr>
        <w:footnoteReference w:id="231"/>
      </w:r>
      <w:r w:rsidR="00417005" w:rsidRPr="0042152F">
        <w:rPr>
          <w:rFonts w:ascii="Times New Roman" w:hAnsi="Times New Roman" w:cs="Times New Roman"/>
          <w:sz w:val="24"/>
          <w:szCs w:val="24"/>
        </w:rPr>
        <w:t xml:space="preserve"> </w:t>
      </w:r>
      <w:r w:rsidR="00720626" w:rsidRPr="0042152F">
        <w:rPr>
          <w:rFonts w:ascii="Times New Roman" w:hAnsi="Times New Roman" w:cs="Times New Roman"/>
          <w:sz w:val="24"/>
          <w:szCs w:val="24"/>
        </w:rPr>
        <w:t>Of course, the shareholders might be wrong,</w:t>
      </w:r>
      <w:r w:rsidR="00BD1C8E" w:rsidRPr="0042152F">
        <w:rPr>
          <w:rFonts w:ascii="Times New Roman" w:hAnsi="Times New Roman" w:cs="Times New Roman"/>
          <w:sz w:val="24"/>
          <w:szCs w:val="24"/>
        </w:rPr>
        <w:t xml:space="preserve"> just</w:t>
      </w:r>
      <w:r w:rsidR="00720626" w:rsidRPr="0042152F">
        <w:rPr>
          <w:rFonts w:ascii="Times New Roman" w:hAnsi="Times New Roman" w:cs="Times New Roman"/>
          <w:sz w:val="24"/>
          <w:szCs w:val="24"/>
        </w:rPr>
        <w:t xml:space="preserve"> as any party to a transaction might be wrong about its profitability. But investors who stand to gain or lose from the transaction are the most suitable party to make that decision.</w:t>
      </w:r>
      <w:r w:rsidR="00613141">
        <w:rPr>
          <w:rStyle w:val="FootnoteReference"/>
          <w:rFonts w:ascii="Times New Roman" w:hAnsi="Times New Roman" w:cs="Times New Roman"/>
          <w:sz w:val="24"/>
          <w:szCs w:val="24"/>
        </w:rPr>
        <w:footnoteReference w:id="232"/>
      </w:r>
      <w:r w:rsidR="00720626" w:rsidRPr="0042152F">
        <w:rPr>
          <w:rFonts w:ascii="Times New Roman" w:hAnsi="Times New Roman" w:cs="Times New Roman"/>
          <w:sz w:val="24"/>
          <w:szCs w:val="24"/>
        </w:rPr>
        <w:t xml:space="preserve"> </w:t>
      </w:r>
    </w:p>
    <w:p w14:paraId="088F4330" w14:textId="71A49CAD" w:rsidR="00720626" w:rsidRPr="0042152F" w:rsidRDefault="00481C47"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720626" w:rsidRPr="0042152F">
        <w:rPr>
          <w:rFonts w:ascii="Times New Roman" w:hAnsi="Times New Roman" w:cs="Times New Roman"/>
          <w:sz w:val="24"/>
          <w:szCs w:val="24"/>
        </w:rPr>
        <w:t>he</w:t>
      </w:r>
      <w:r w:rsidR="006C1989">
        <w:rPr>
          <w:rFonts w:ascii="Times New Roman" w:hAnsi="Times New Roman" w:cs="Times New Roman"/>
          <w:sz w:val="24"/>
          <w:szCs w:val="24"/>
        </w:rPr>
        <w:t>refore, the</w:t>
      </w:r>
      <w:r w:rsidR="00720626" w:rsidRPr="0042152F">
        <w:rPr>
          <w:rFonts w:ascii="Times New Roman" w:hAnsi="Times New Roman" w:cs="Times New Roman"/>
          <w:sz w:val="24"/>
          <w:szCs w:val="24"/>
        </w:rPr>
        <w:t xml:space="preserve"> voting process aggregates the individual subjective valuations of the shareholders and indicates whether investors believe that the controller’s vision justifies the proposed price. As such, it acts as a referendum on vision. Consider how, with regard to Musk’s pay package, leading proxy advisors ISS and Glass Lewis recommended that shareholders vote </w:t>
      </w:r>
      <w:r w:rsidR="00416065" w:rsidRPr="0042152F">
        <w:rPr>
          <w:rFonts w:ascii="Times New Roman" w:hAnsi="Times New Roman" w:cs="Times New Roman"/>
          <w:sz w:val="24"/>
          <w:szCs w:val="24"/>
        </w:rPr>
        <w:t>against it</w:t>
      </w:r>
      <w:r w:rsidR="00720626" w:rsidRPr="0042152F">
        <w:rPr>
          <w:rFonts w:ascii="Times New Roman" w:hAnsi="Times New Roman" w:cs="Times New Roman"/>
          <w:sz w:val="24"/>
          <w:szCs w:val="24"/>
        </w:rPr>
        <w:t xml:space="preserve">, </w:t>
      </w:r>
      <w:r w:rsidR="00FF3865">
        <w:rPr>
          <w:rFonts w:ascii="Times New Roman" w:hAnsi="Times New Roman" w:cs="Times New Roman"/>
          <w:sz w:val="24"/>
          <w:szCs w:val="24"/>
        </w:rPr>
        <w:t>likely</w:t>
      </w:r>
      <w:r w:rsidR="00720626" w:rsidRPr="0042152F">
        <w:rPr>
          <w:rFonts w:ascii="Times New Roman" w:hAnsi="Times New Roman" w:cs="Times New Roman"/>
          <w:sz w:val="24"/>
          <w:szCs w:val="24"/>
        </w:rPr>
        <w:t xml:space="preserve"> utilizing conventional</w:t>
      </w:r>
      <w:r w:rsidR="00720626" w:rsidRPr="0042152F" w:rsidDel="007307F4">
        <w:rPr>
          <w:rFonts w:ascii="Times New Roman" w:hAnsi="Times New Roman" w:cs="Times New Roman"/>
          <w:sz w:val="24"/>
          <w:szCs w:val="24"/>
        </w:rPr>
        <w:t xml:space="preserve"> </w:t>
      </w:r>
      <w:r w:rsidR="00720626" w:rsidRPr="0042152F">
        <w:rPr>
          <w:rFonts w:ascii="Times New Roman" w:hAnsi="Times New Roman" w:cs="Times New Roman"/>
          <w:sz w:val="24"/>
          <w:szCs w:val="24"/>
        </w:rPr>
        <w:t xml:space="preserve">valuations to conclude Musk’s leadership </w:t>
      </w:r>
      <w:r w:rsidR="00416065" w:rsidRPr="0042152F">
        <w:rPr>
          <w:rFonts w:ascii="Times New Roman" w:hAnsi="Times New Roman" w:cs="Times New Roman"/>
          <w:sz w:val="24"/>
          <w:szCs w:val="24"/>
        </w:rPr>
        <w:t>was not</w:t>
      </w:r>
      <w:r w:rsidR="00720626" w:rsidRPr="0042152F">
        <w:rPr>
          <w:rFonts w:ascii="Times New Roman" w:hAnsi="Times New Roman" w:cs="Times New Roman"/>
          <w:sz w:val="24"/>
          <w:szCs w:val="24"/>
        </w:rPr>
        <w:t xml:space="preserve"> worth the $55.8 billion he was eligible to receive.</w:t>
      </w:r>
      <w:r w:rsidR="00720626" w:rsidRPr="0042152F">
        <w:rPr>
          <w:rStyle w:val="FootnoteReference"/>
          <w:rFonts w:ascii="Times New Roman" w:hAnsi="Times New Roman" w:cs="Times New Roman"/>
          <w:sz w:val="24"/>
          <w:szCs w:val="24"/>
        </w:rPr>
        <w:footnoteReference w:id="233"/>
      </w:r>
      <w:r w:rsidR="00720626" w:rsidRPr="0042152F">
        <w:rPr>
          <w:rFonts w:ascii="Times New Roman" w:hAnsi="Times New Roman" w:cs="Times New Roman"/>
          <w:sz w:val="24"/>
          <w:szCs w:val="24"/>
        </w:rPr>
        <w:t xml:space="preserve"> But Tesla’s shareholders made a different call. They bet on Musk generating the returns that would benefit not only him but all shareholders. This is a bet that paid off handsomely. </w:t>
      </w:r>
    </w:p>
    <w:p w14:paraId="19309A6B" w14:textId="369ED6F7" w:rsidR="001A198E" w:rsidRDefault="00EE6C0F"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third advantage of our proposal is that it recognizes that</w:t>
      </w:r>
      <w:r w:rsidR="00720626" w:rsidRPr="0042152F">
        <w:rPr>
          <w:rFonts w:ascii="Times New Roman" w:hAnsi="Times New Roman" w:cs="Times New Roman"/>
          <w:sz w:val="24"/>
          <w:szCs w:val="24"/>
        </w:rPr>
        <w:t xml:space="preserve"> when shareholders vote to embrace or reject a transaction, </w:t>
      </w:r>
      <w:r w:rsidR="00A4279F" w:rsidRPr="0042152F">
        <w:rPr>
          <w:rFonts w:ascii="Times New Roman" w:hAnsi="Times New Roman" w:cs="Times New Roman"/>
          <w:sz w:val="24"/>
          <w:szCs w:val="24"/>
        </w:rPr>
        <w:t xml:space="preserve">information about the special committee process and </w:t>
      </w:r>
      <w:r w:rsidR="00940E1D" w:rsidRPr="0042152F">
        <w:rPr>
          <w:rFonts w:ascii="Times New Roman" w:hAnsi="Times New Roman" w:cs="Times New Roman"/>
          <w:sz w:val="24"/>
          <w:szCs w:val="24"/>
        </w:rPr>
        <w:t xml:space="preserve">the </w:t>
      </w:r>
      <w:r w:rsidR="00A4279F" w:rsidRPr="0042152F">
        <w:rPr>
          <w:rFonts w:ascii="Times New Roman" w:hAnsi="Times New Roman" w:cs="Times New Roman"/>
          <w:sz w:val="24"/>
          <w:szCs w:val="24"/>
        </w:rPr>
        <w:t xml:space="preserve">independence of </w:t>
      </w:r>
      <w:r w:rsidR="00940E1D" w:rsidRPr="0042152F">
        <w:rPr>
          <w:rFonts w:ascii="Times New Roman" w:hAnsi="Times New Roman" w:cs="Times New Roman"/>
          <w:sz w:val="24"/>
          <w:szCs w:val="24"/>
        </w:rPr>
        <w:t>its</w:t>
      </w:r>
      <w:r w:rsidR="00A4279F" w:rsidRPr="0042152F">
        <w:rPr>
          <w:rFonts w:ascii="Times New Roman" w:hAnsi="Times New Roman" w:cs="Times New Roman"/>
          <w:sz w:val="24"/>
          <w:szCs w:val="24"/>
        </w:rPr>
        <w:t xml:space="preserve"> </w:t>
      </w:r>
      <w:r w:rsidR="00940E1D" w:rsidRPr="0042152F">
        <w:rPr>
          <w:rFonts w:ascii="Times New Roman" w:hAnsi="Times New Roman" w:cs="Times New Roman"/>
          <w:sz w:val="24"/>
          <w:szCs w:val="24"/>
        </w:rPr>
        <w:t xml:space="preserve">members </w:t>
      </w:r>
      <w:r w:rsidR="00A4279F" w:rsidRPr="0042152F">
        <w:rPr>
          <w:rFonts w:ascii="Times New Roman" w:hAnsi="Times New Roman" w:cs="Times New Roman"/>
          <w:sz w:val="24"/>
          <w:szCs w:val="24"/>
        </w:rPr>
        <w:t xml:space="preserve">is relevant but </w:t>
      </w:r>
      <w:r w:rsidR="00624869" w:rsidRPr="0042152F">
        <w:rPr>
          <w:rFonts w:ascii="Times New Roman" w:hAnsi="Times New Roman" w:cs="Times New Roman"/>
          <w:sz w:val="24"/>
          <w:szCs w:val="24"/>
        </w:rPr>
        <w:t>unlikely to change a shareholder’s decision</w:t>
      </w:r>
      <w:r w:rsidR="00EA619D" w:rsidRPr="0042152F">
        <w:rPr>
          <w:rFonts w:ascii="Times New Roman" w:hAnsi="Times New Roman" w:cs="Times New Roman"/>
          <w:sz w:val="24"/>
          <w:szCs w:val="24"/>
        </w:rPr>
        <w:t xml:space="preserve"> for two reasons</w:t>
      </w:r>
      <w:r w:rsidR="00A4279F" w:rsidRPr="0042152F">
        <w:rPr>
          <w:rFonts w:ascii="Times New Roman" w:hAnsi="Times New Roman" w:cs="Times New Roman"/>
          <w:sz w:val="24"/>
          <w:szCs w:val="24"/>
        </w:rPr>
        <w:t xml:space="preserve">. </w:t>
      </w:r>
      <w:r w:rsidR="00EA619D" w:rsidRPr="0042152F">
        <w:rPr>
          <w:rFonts w:ascii="Times New Roman" w:hAnsi="Times New Roman" w:cs="Times New Roman"/>
          <w:sz w:val="24"/>
          <w:szCs w:val="24"/>
        </w:rPr>
        <w:t>First</w:t>
      </w:r>
      <w:r w:rsidR="00A4279F" w:rsidRPr="0042152F">
        <w:rPr>
          <w:rFonts w:ascii="Times New Roman" w:hAnsi="Times New Roman" w:cs="Times New Roman"/>
          <w:sz w:val="24"/>
          <w:szCs w:val="24"/>
        </w:rPr>
        <w:t xml:space="preserve">, the shareholders understand that the controller has the ability to </w:t>
      </w:r>
      <w:r w:rsidR="005A0FA3" w:rsidRPr="0042152F">
        <w:rPr>
          <w:rFonts w:ascii="Times New Roman" w:hAnsi="Times New Roman" w:cs="Times New Roman"/>
          <w:sz w:val="24"/>
          <w:szCs w:val="24"/>
        </w:rPr>
        <w:t xml:space="preserve">appoint and </w:t>
      </w:r>
      <w:r w:rsidR="00A4279F" w:rsidRPr="0042152F">
        <w:rPr>
          <w:rFonts w:ascii="Times New Roman" w:hAnsi="Times New Roman" w:cs="Times New Roman"/>
          <w:sz w:val="24"/>
          <w:szCs w:val="24"/>
        </w:rPr>
        <w:t>fire the independent directors.</w:t>
      </w:r>
      <w:r w:rsidR="00F71B0B">
        <w:rPr>
          <w:rStyle w:val="FootnoteReference"/>
          <w:rFonts w:ascii="Times New Roman" w:hAnsi="Times New Roman" w:cs="Times New Roman"/>
          <w:sz w:val="24"/>
          <w:szCs w:val="24"/>
        </w:rPr>
        <w:footnoteReference w:id="234"/>
      </w:r>
      <w:r w:rsidR="00A4279F" w:rsidRPr="0042152F">
        <w:rPr>
          <w:rFonts w:ascii="Times New Roman" w:hAnsi="Times New Roman" w:cs="Times New Roman"/>
          <w:sz w:val="24"/>
          <w:szCs w:val="24"/>
        </w:rPr>
        <w:t xml:space="preserve"> </w:t>
      </w:r>
      <w:r w:rsidR="0061539B">
        <w:rPr>
          <w:rFonts w:ascii="Times New Roman" w:hAnsi="Times New Roman" w:cs="Times New Roman"/>
          <w:sz w:val="24"/>
          <w:szCs w:val="24"/>
        </w:rPr>
        <w:t>T</w:t>
      </w:r>
      <w:r w:rsidR="00A4279F" w:rsidRPr="0042152F">
        <w:rPr>
          <w:rFonts w:ascii="Times New Roman" w:hAnsi="Times New Roman" w:cs="Times New Roman"/>
          <w:sz w:val="24"/>
          <w:szCs w:val="24"/>
        </w:rPr>
        <w:t xml:space="preserve">he conflict is </w:t>
      </w:r>
      <w:r w:rsidR="0061539B">
        <w:rPr>
          <w:rFonts w:ascii="Times New Roman" w:hAnsi="Times New Roman" w:cs="Times New Roman"/>
          <w:sz w:val="24"/>
          <w:szCs w:val="24"/>
        </w:rPr>
        <w:t xml:space="preserve">therefore already </w:t>
      </w:r>
      <w:r w:rsidR="00A4279F" w:rsidRPr="0042152F">
        <w:rPr>
          <w:rFonts w:ascii="Times New Roman" w:hAnsi="Times New Roman" w:cs="Times New Roman"/>
          <w:sz w:val="24"/>
          <w:szCs w:val="24"/>
        </w:rPr>
        <w:t xml:space="preserve">front and center, and shareholders </w:t>
      </w:r>
      <w:r w:rsidR="00F71B0B">
        <w:rPr>
          <w:rFonts w:ascii="Times New Roman" w:hAnsi="Times New Roman" w:cs="Times New Roman"/>
          <w:sz w:val="24"/>
          <w:szCs w:val="24"/>
        </w:rPr>
        <w:t xml:space="preserve">will </w:t>
      </w:r>
      <w:r w:rsidR="00624869" w:rsidRPr="0042152F">
        <w:rPr>
          <w:rFonts w:ascii="Times New Roman" w:hAnsi="Times New Roman" w:cs="Times New Roman"/>
          <w:sz w:val="24"/>
          <w:szCs w:val="24"/>
        </w:rPr>
        <w:t xml:space="preserve">properly </w:t>
      </w:r>
      <w:r w:rsidR="001720D4" w:rsidRPr="0042152F">
        <w:rPr>
          <w:rFonts w:ascii="Times New Roman" w:hAnsi="Times New Roman" w:cs="Times New Roman"/>
          <w:sz w:val="24"/>
          <w:szCs w:val="24"/>
        </w:rPr>
        <w:t>assume</w:t>
      </w:r>
      <w:r w:rsidR="00A4279F" w:rsidRPr="0042152F">
        <w:rPr>
          <w:rFonts w:ascii="Times New Roman" w:hAnsi="Times New Roman" w:cs="Times New Roman"/>
          <w:sz w:val="24"/>
          <w:szCs w:val="24"/>
        </w:rPr>
        <w:t xml:space="preserve"> that even an independent committee could have left money on the table</w:t>
      </w:r>
      <w:r w:rsidR="00062EC7">
        <w:rPr>
          <w:rFonts w:ascii="Times New Roman" w:hAnsi="Times New Roman" w:cs="Times New Roman"/>
          <w:sz w:val="24"/>
          <w:szCs w:val="24"/>
        </w:rPr>
        <w:t xml:space="preserve"> and evaluate the deal accordingly</w:t>
      </w:r>
      <w:r w:rsidR="00A4279F" w:rsidRPr="0042152F">
        <w:rPr>
          <w:rFonts w:ascii="Times New Roman" w:hAnsi="Times New Roman" w:cs="Times New Roman"/>
          <w:sz w:val="24"/>
          <w:szCs w:val="24"/>
        </w:rPr>
        <w:t>.</w:t>
      </w:r>
      <w:r w:rsidR="00062EC7">
        <w:rPr>
          <w:rStyle w:val="FootnoteReference"/>
          <w:rFonts w:ascii="Times New Roman" w:hAnsi="Times New Roman" w:cs="Times New Roman"/>
          <w:sz w:val="24"/>
          <w:szCs w:val="24"/>
        </w:rPr>
        <w:footnoteReference w:id="235"/>
      </w:r>
      <w:r w:rsidR="00A4279F" w:rsidRPr="0042152F">
        <w:rPr>
          <w:rFonts w:ascii="Times New Roman" w:hAnsi="Times New Roman" w:cs="Times New Roman"/>
          <w:sz w:val="24"/>
          <w:szCs w:val="24"/>
        </w:rPr>
        <w:t xml:space="preserve"> </w:t>
      </w:r>
    </w:p>
    <w:p w14:paraId="3FE1F31F" w14:textId="3E3BB8AB" w:rsidR="00F570B1" w:rsidRPr="0042152F" w:rsidRDefault="009E7646"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Second, </w:t>
      </w:r>
      <w:r w:rsidR="00350433" w:rsidRPr="0042152F">
        <w:rPr>
          <w:rFonts w:ascii="Times New Roman" w:hAnsi="Times New Roman" w:cs="Times New Roman"/>
          <w:sz w:val="24"/>
          <w:szCs w:val="24"/>
        </w:rPr>
        <w:t xml:space="preserve">when the self-dealing transaction is intertwined with the controller’s vision, </w:t>
      </w:r>
      <w:r w:rsidRPr="0042152F">
        <w:rPr>
          <w:rFonts w:ascii="Times New Roman" w:hAnsi="Times New Roman" w:cs="Times New Roman"/>
          <w:sz w:val="24"/>
          <w:szCs w:val="24"/>
        </w:rPr>
        <w:t xml:space="preserve">it is unlikely that shareholders </w:t>
      </w:r>
      <w:r w:rsidR="007342B7" w:rsidRPr="0042152F">
        <w:rPr>
          <w:rFonts w:ascii="Times New Roman" w:hAnsi="Times New Roman" w:cs="Times New Roman"/>
          <w:sz w:val="24"/>
          <w:szCs w:val="24"/>
        </w:rPr>
        <w:t xml:space="preserve">give much weight to the special committee’s process when </w:t>
      </w:r>
      <w:r w:rsidR="00543197" w:rsidRPr="0042152F">
        <w:rPr>
          <w:rFonts w:ascii="Times New Roman" w:hAnsi="Times New Roman" w:cs="Times New Roman"/>
          <w:sz w:val="24"/>
          <w:szCs w:val="24"/>
        </w:rPr>
        <w:t xml:space="preserve">deciding </w:t>
      </w:r>
      <w:r w:rsidR="003D4FB7" w:rsidRPr="0042152F">
        <w:rPr>
          <w:rFonts w:ascii="Times New Roman" w:hAnsi="Times New Roman" w:cs="Times New Roman"/>
          <w:sz w:val="24"/>
          <w:szCs w:val="24"/>
        </w:rPr>
        <w:t>whether to accept</w:t>
      </w:r>
      <w:r w:rsidR="00543197" w:rsidRPr="0042152F">
        <w:rPr>
          <w:rFonts w:ascii="Times New Roman" w:hAnsi="Times New Roman" w:cs="Times New Roman"/>
          <w:sz w:val="24"/>
          <w:szCs w:val="24"/>
        </w:rPr>
        <w:t xml:space="preserve"> the controller’s vision.</w:t>
      </w:r>
      <w:r w:rsidR="001A198E">
        <w:rPr>
          <w:rFonts w:ascii="Times New Roman" w:hAnsi="Times New Roman" w:cs="Times New Roman"/>
          <w:sz w:val="24"/>
          <w:szCs w:val="24"/>
        </w:rPr>
        <w:t xml:space="preserve"> </w:t>
      </w:r>
      <w:r w:rsidR="009B7F56" w:rsidRPr="0042152F">
        <w:rPr>
          <w:rFonts w:ascii="Times New Roman" w:hAnsi="Times New Roman" w:cs="Times New Roman"/>
          <w:sz w:val="24"/>
          <w:szCs w:val="24"/>
        </w:rPr>
        <w:t xml:space="preserve">As evidence for this view, </w:t>
      </w:r>
      <w:r w:rsidR="00B9301A">
        <w:rPr>
          <w:rFonts w:ascii="Times New Roman" w:hAnsi="Times New Roman" w:cs="Times New Roman"/>
          <w:sz w:val="24"/>
          <w:szCs w:val="24"/>
        </w:rPr>
        <w:t xml:space="preserve">consider again </w:t>
      </w:r>
      <w:r w:rsidR="00D424F1">
        <w:rPr>
          <w:rFonts w:ascii="Times New Roman" w:hAnsi="Times New Roman" w:cs="Times New Roman"/>
          <w:sz w:val="24"/>
          <w:szCs w:val="24"/>
        </w:rPr>
        <w:t xml:space="preserve">the decision of disinterested shareholders </w:t>
      </w:r>
      <w:r w:rsidR="00F570B1" w:rsidRPr="0042152F">
        <w:rPr>
          <w:rFonts w:ascii="Times New Roman" w:hAnsi="Times New Roman" w:cs="Times New Roman"/>
          <w:sz w:val="24"/>
          <w:szCs w:val="24"/>
        </w:rPr>
        <w:t xml:space="preserve">in </w:t>
      </w:r>
      <w:r w:rsidR="00F570B1" w:rsidRPr="0042152F">
        <w:rPr>
          <w:rFonts w:ascii="Times New Roman" w:hAnsi="Times New Roman" w:cs="Times New Roman"/>
          <w:i/>
          <w:iCs/>
          <w:sz w:val="24"/>
          <w:szCs w:val="24"/>
        </w:rPr>
        <w:t>Tornetta</w:t>
      </w:r>
      <w:r w:rsidR="00D424F1">
        <w:rPr>
          <w:rFonts w:ascii="Times New Roman" w:hAnsi="Times New Roman" w:cs="Times New Roman"/>
          <w:i/>
          <w:iCs/>
          <w:sz w:val="24"/>
          <w:szCs w:val="24"/>
        </w:rPr>
        <w:t xml:space="preserve"> </w:t>
      </w:r>
      <w:r w:rsidR="00C80A5E">
        <w:rPr>
          <w:rFonts w:ascii="Times New Roman" w:hAnsi="Times New Roman" w:cs="Times New Roman"/>
          <w:sz w:val="24"/>
          <w:szCs w:val="24"/>
        </w:rPr>
        <w:t xml:space="preserve">to approve Musk’s outsized compensation package. </w:t>
      </w:r>
      <w:r w:rsidR="001A198E">
        <w:rPr>
          <w:rFonts w:ascii="Times New Roman" w:hAnsi="Times New Roman" w:cs="Times New Roman"/>
          <w:sz w:val="24"/>
          <w:szCs w:val="24"/>
        </w:rPr>
        <w:t xml:space="preserve">This </w:t>
      </w:r>
      <w:r w:rsidR="00A350F4">
        <w:rPr>
          <w:rFonts w:ascii="Times New Roman" w:hAnsi="Times New Roman" w:cs="Times New Roman"/>
          <w:sz w:val="24"/>
          <w:szCs w:val="24"/>
        </w:rPr>
        <w:t>vote indicated that shareholders believe</w:t>
      </w:r>
      <w:r w:rsidR="001A198E">
        <w:rPr>
          <w:rFonts w:ascii="Times New Roman" w:hAnsi="Times New Roman" w:cs="Times New Roman"/>
          <w:sz w:val="24"/>
          <w:szCs w:val="24"/>
        </w:rPr>
        <w:t>d</w:t>
      </w:r>
      <w:r w:rsidR="00A350F4">
        <w:rPr>
          <w:rFonts w:ascii="Times New Roman" w:hAnsi="Times New Roman" w:cs="Times New Roman"/>
          <w:sz w:val="24"/>
          <w:szCs w:val="24"/>
        </w:rPr>
        <w:t xml:space="preserve"> that </w:t>
      </w:r>
      <w:r w:rsidR="009B7F56" w:rsidRPr="0042152F">
        <w:rPr>
          <w:rFonts w:ascii="Times New Roman" w:hAnsi="Times New Roman" w:cs="Times New Roman"/>
          <w:sz w:val="24"/>
          <w:szCs w:val="24"/>
        </w:rPr>
        <w:t xml:space="preserve">Musk’s </w:t>
      </w:r>
      <w:r w:rsidR="0037590C" w:rsidRPr="0042152F">
        <w:rPr>
          <w:rFonts w:ascii="Times New Roman" w:hAnsi="Times New Roman" w:cs="Times New Roman"/>
          <w:sz w:val="24"/>
          <w:szCs w:val="24"/>
        </w:rPr>
        <w:t xml:space="preserve">unique </w:t>
      </w:r>
      <w:r w:rsidR="009B7F56" w:rsidRPr="0042152F">
        <w:rPr>
          <w:rFonts w:ascii="Times New Roman" w:hAnsi="Times New Roman" w:cs="Times New Roman"/>
          <w:sz w:val="24"/>
          <w:szCs w:val="24"/>
        </w:rPr>
        <w:t xml:space="preserve">vision and its </w:t>
      </w:r>
      <w:r w:rsidR="0037590C" w:rsidRPr="0042152F">
        <w:rPr>
          <w:rFonts w:ascii="Times New Roman" w:hAnsi="Times New Roman" w:cs="Times New Roman"/>
          <w:sz w:val="24"/>
          <w:szCs w:val="24"/>
        </w:rPr>
        <w:t xml:space="preserve">significant contribution to Tesla’s value </w:t>
      </w:r>
      <w:r w:rsidR="001A198E">
        <w:rPr>
          <w:rFonts w:ascii="Times New Roman" w:hAnsi="Times New Roman" w:cs="Times New Roman"/>
          <w:sz w:val="24"/>
          <w:szCs w:val="24"/>
        </w:rPr>
        <w:t xml:space="preserve">justified </w:t>
      </w:r>
      <w:r w:rsidR="00CF268A">
        <w:rPr>
          <w:rFonts w:ascii="Times New Roman" w:hAnsi="Times New Roman" w:cs="Times New Roman"/>
          <w:sz w:val="24"/>
          <w:szCs w:val="24"/>
        </w:rPr>
        <w:t xml:space="preserve">the </w:t>
      </w:r>
      <w:r w:rsidR="00B365E1" w:rsidRPr="0042152F">
        <w:rPr>
          <w:rFonts w:ascii="Times New Roman" w:hAnsi="Times New Roman" w:cs="Times New Roman"/>
          <w:sz w:val="24"/>
          <w:szCs w:val="24"/>
        </w:rPr>
        <w:t>proposed compensation</w:t>
      </w:r>
      <w:r w:rsidR="00DB21B0" w:rsidRPr="0042152F">
        <w:rPr>
          <w:rFonts w:ascii="Times New Roman" w:hAnsi="Times New Roman" w:cs="Times New Roman"/>
          <w:sz w:val="24"/>
          <w:szCs w:val="24"/>
        </w:rPr>
        <w:t xml:space="preserve">. How likely </w:t>
      </w:r>
      <w:r w:rsidR="001A198E">
        <w:rPr>
          <w:rFonts w:ascii="Times New Roman" w:hAnsi="Times New Roman" w:cs="Times New Roman"/>
          <w:sz w:val="24"/>
          <w:szCs w:val="24"/>
        </w:rPr>
        <w:t xml:space="preserve">is it that </w:t>
      </w:r>
      <w:r w:rsidR="00A14480" w:rsidRPr="0042152F">
        <w:rPr>
          <w:rFonts w:ascii="Times New Roman" w:hAnsi="Times New Roman" w:cs="Times New Roman"/>
          <w:sz w:val="24"/>
          <w:szCs w:val="24"/>
        </w:rPr>
        <w:t>(</w:t>
      </w:r>
      <w:r w:rsidR="00DB21B0" w:rsidRPr="0042152F">
        <w:rPr>
          <w:rFonts w:ascii="Times New Roman" w:hAnsi="Times New Roman" w:cs="Times New Roman"/>
          <w:sz w:val="24"/>
          <w:szCs w:val="24"/>
        </w:rPr>
        <w:t>more</w:t>
      </w:r>
      <w:r w:rsidR="00A14480" w:rsidRPr="0042152F">
        <w:rPr>
          <w:rFonts w:ascii="Times New Roman" w:hAnsi="Times New Roman" w:cs="Times New Roman"/>
          <w:sz w:val="24"/>
          <w:szCs w:val="24"/>
        </w:rPr>
        <w:t>)</w:t>
      </w:r>
      <w:r w:rsidR="00DB21B0" w:rsidRPr="0042152F">
        <w:rPr>
          <w:rFonts w:ascii="Times New Roman" w:hAnsi="Times New Roman" w:cs="Times New Roman"/>
          <w:sz w:val="24"/>
          <w:szCs w:val="24"/>
        </w:rPr>
        <w:t xml:space="preserve"> information about the </w:t>
      </w:r>
      <w:r w:rsidR="00395766" w:rsidRPr="0042152F">
        <w:rPr>
          <w:rFonts w:ascii="Times New Roman" w:hAnsi="Times New Roman" w:cs="Times New Roman"/>
          <w:sz w:val="24"/>
          <w:szCs w:val="24"/>
        </w:rPr>
        <w:t xml:space="preserve">flaws in the </w:t>
      </w:r>
      <w:r w:rsidR="00DB21B0" w:rsidRPr="0042152F">
        <w:rPr>
          <w:rFonts w:ascii="Times New Roman" w:hAnsi="Times New Roman" w:cs="Times New Roman"/>
          <w:sz w:val="24"/>
          <w:szCs w:val="24"/>
        </w:rPr>
        <w:t xml:space="preserve">bargaining </w:t>
      </w:r>
      <w:r w:rsidR="001A198E" w:rsidRPr="0042152F">
        <w:rPr>
          <w:rFonts w:ascii="Times New Roman" w:hAnsi="Times New Roman" w:cs="Times New Roman"/>
          <w:sz w:val="24"/>
          <w:szCs w:val="24"/>
        </w:rPr>
        <w:t>process</w:t>
      </w:r>
      <w:r w:rsidR="001A198E">
        <w:rPr>
          <w:rFonts w:ascii="Times New Roman" w:hAnsi="Times New Roman" w:cs="Times New Roman"/>
          <w:sz w:val="24"/>
          <w:szCs w:val="24"/>
        </w:rPr>
        <w:t xml:space="preserve"> would have </w:t>
      </w:r>
      <w:r w:rsidR="00DB21B0" w:rsidRPr="0042152F">
        <w:rPr>
          <w:rFonts w:ascii="Times New Roman" w:hAnsi="Times New Roman" w:cs="Times New Roman"/>
          <w:sz w:val="24"/>
          <w:szCs w:val="24"/>
        </w:rPr>
        <w:t>change</w:t>
      </w:r>
      <w:r w:rsidR="001A198E">
        <w:rPr>
          <w:rFonts w:ascii="Times New Roman" w:hAnsi="Times New Roman" w:cs="Times New Roman"/>
          <w:sz w:val="24"/>
          <w:szCs w:val="24"/>
        </w:rPr>
        <w:t>d</w:t>
      </w:r>
      <w:r w:rsidR="00DB21B0" w:rsidRPr="0042152F">
        <w:rPr>
          <w:rFonts w:ascii="Times New Roman" w:hAnsi="Times New Roman" w:cs="Times New Roman"/>
          <w:sz w:val="24"/>
          <w:szCs w:val="24"/>
        </w:rPr>
        <w:t xml:space="preserve"> their assessment</w:t>
      </w:r>
      <w:r w:rsidR="00A14480" w:rsidRPr="0042152F">
        <w:rPr>
          <w:rFonts w:ascii="Times New Roman" w:hAnsi="Times New Roman" w:cs="Times New Roman"/>
          <w:sz w:val="24"/>
          <w:szCs w:val="24"/>
        </w:rPr>
        <w:t xml:space="preserve"> of Musk’s </w:t>
      </w:r>
      <w:r w:rsidR="00660BE3" w:rsidRPr="0042152F">
        <w:rPr>
          <w:rFonts w:ascii="Times New Roman" w:hAnsi="Times New Roman" w:cs="Times New Roman"/>
          <w:sz w:val="24"/>
          <w:szCs w:val="24"/>
        </w:rPr>
        <w:t>vision</w:t>
      </w:r>
      <w:r w:rsidR="00DB21B0" w:rsidRPr="0042152F">
        <w:rPr>
          <w:rFonts w:ascii="Times New Roman" w:hAnsi="Times New Roman" w:cs="Times New Roman"/>
          <w:sz w:val="24"/>
          <w:szCs w:val="24"/>
        </w:rPr>
        <w:t>?</w:t>
      </w:r>
      <w:r w:rsidR="00D0366A" w:rsidRPr="0042152F">
        <w:rPr>
          <w:rFonts w:ascii="Times New Roman" w:hAnsi="Times New Roman" w:cs="Times New Roman"/>
          <w:sz w:val="24"/>
          <w:szCs w:val="24"/>
        </w:rPr>
        <w:t xml:space="preserve"> </w:t>
      </w:r>
      <w:r w:rsidR="00E35003" w:rsidRPr="0042152F">
        <w:rPr>
          <w:rFonts w:ascii="Times New Roman" w:hAnsi="Times New Roman" w:cs="Times New Roman"/>
          <w:sz w:val="24"/>
          <w:szCs w:val="24"/>
        </w:rPr>
        <w:t>T</w:t>
      </w:r>
      <w:r w:rsidR="00D0366A" w:rsidRPr="0042152F">
        <w:rPr>
          <w:rFonts w:ascii="Times New Roman" w:hAnsi="Times New Roman" w:cs="Times New Roman"/>
          <w:sz w:val="24"/>
          <w:szCs w:val="24"/>
        </w:rPr>
        <w:t>he fact that Tesla shareholders again approved the package by a wide margin in a June 2024 vote</w:t>
      </w:r>
      <w:r w:rsidR="00E35003" w:rsidRPr="0042152F">
        <w:rPr>
          <w:rFonts w:ascii="Times New Roman" w:hAnsi="Times New Roman" w:cs="Times New Roman"/>
          <w:sz w:val="24"/>
          <w:szCs w:val="24"/>
        </w:rPr>
        <w:t xml:space="preserve"> indicates </w:t>
      </w:r>
      <w:r w:rsidR="00774752" w:rsidRPr="0042152F">
        <w:rPr>
          <w:rFonts w:ascii="Times New Roman" w:hAnsi="Times New Roman" w:cs="Times New Roman"/>
          <w:sz w:val="24"/>
          <w:szCs w:val="24"/>
        </w:rPr>
        <w:t>that</w:t>
      </w:r>
      <w:r w:rsidR="00D0366A" w:rsidRPr="0042152F">
        <w:rPr>
          <w:rFonts w:ascii="Times New Roman" w:hAnsi="Times New Roman" w:cs="Times New Roman"/>
          <w:sz w:val="24"/>
          <w:szCs w:val="24"/>
        </w:rPr>
        <w:t xml:space="preserve"> the</w:t>
      </w:r>
      <w:r w:rsidR="00395766" w:rsidRPr="0042152F">
        <w:rPr>
          <w:rFonts w:ascii="Times New Roman" w:hAnsi="Times New Roman" w:cs="Times New Roman"/>
          <w:sz w:val="24"/>
          <w:szCs w:val="24"/>
        </w:rPr>
        <w:t xml:space="preserve"> court-identified flaws</w:t>
      </w:r>
      <w:r w:rsidR="00D0366A" w:rsidRPr="0042152F">
        <w:rPr>
          <w:rFonts w:ascii="Times New Roman" w:hAnsi="Times New Roman" w:cs="Times New Roman"/>
          <w:sz w:val="24"/>
          <w:szCs w:val="24"/>
        </w:rPr>
        <w:t xml:space="preserve"> did not affect their view of the fairness of the pay.</w:t>
      </w:r>
      <w:r w:rsidR="00774752" w:rsidRPr="0042152F">
        <w:rPr>
          <w:rStyle w:val="FootnoteReference"/>
          <w:rFonts w:ascii="Times New Roman" w:hAnsi="Times New Roman" w:cs="Times New Roman"/>
          <w:sz w:val="24"/>
          <w:szCs w:val="24"/>
        </w:rPr>
        <w:t xml:space="preserve"> </w:t>
      </w:r>
      <w:r w:rsidR="00774752" w:rsidRPr="0042152F">
        <w:rPr>
          <w:rStyle w:val="FootnoteReference"/>
          <w:rFonts w:ascii="Times New Roman" w:hAnsi="Times New Roman" w:cs="Times New Roman"/>
          <w:sz w:val="24"/>
          <w:szCs w:val="24"/>
        </w:rPr>
        <w:footnoteReference w:id="236"/>
      </w:r>
      <w:r w:rsidR="00D0366A" w:rsidRPr="0042152F">
        <w:rPr>
          <w:rFonts w:ascii="Times New Roman" w:hAnsi="Times New Roman" w:cs="Times New Roman"/>
          <w:sz w:val="24"/>
          <w:szCs w:val="24"/>
        </w:rPr>
        <w:t xml:space="preserve"> </w:t>
      </w:r>
    </w:p>
    <w:p w14:paraId="36601E81" w14:textId="5B3C7A9F" w:rsidR="00C30ACA" w:rsidRDefault="00B5012E"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bidi="he-IL"/>
        </w:rPr>
        <w:t>A final but crucial advantage of</w:t>
      </w:r>
      <w:r w:rsidR="002712F8">
        <w:rPr>
          <w:rFonts w:ascii="Times New Roman" w:hAnsi="Times New Roman" w:cs="Times New Roman"/>
          <w:sz w:val="24"/>
          <w:szCs w:val="24"/>
          <w:lang w:bidi="he-IL"/>
        </w:rPr>
        <w:t xml:space="preserve"> </w:t>
      </w:r>
      <w:r w:rsidR="00C30ACA" w:rsidRPr="0042152F">
        <w:rPr>
          <w:rFonts w:ascii="Times New Roman" w:hAnsi="Times New Roman" w:cs="Times New Roman"/>
          <w:sz w:val="24"/>
          <w:szCs w:val="24"/>
          <w:lang w:bidi="he-IL"/>
        </w:rPr>
        <w:t xml:space="preserve">our proposal </w:t>
      </w:r>
      <w:r>
        <w:rPr>
          <w:rFonts w:ascii="Times New Roman" w:hAnsi="Times New Roman" w:cs="Times New Roman"/>
          <w:sz w:val="24"/>
          <w:szCs w:val="24"/>
          <w:lang w:bidi="he-IL"/>
        </w:rPr>
        <w:t xml:space="preserve">is that </w:t>
      </w:r>
      <w:r w:rsidR="00C30ACA" w:rsidRPr="0042152F">
        <w:rPr>
          <w:rFonts w:ascii="Times New Roman" w:hAnsi="Times New Roman" w:cs="Times New Roman"/>
          <w:sz w:val="24"/>
          <w:szCs w:val="24"/>
          <w:lang w:bidi="he-IL"/>
        </w:rPr>
        <w:t xml:space="preserve">would require courts to engage in valuation less often. </w:t>
      </w:r>
      <w:r w:rsidR="00C30ACA" w:rsidRPr="0042152F">
        <w:rPr>
          <w:rFonts w:ascii="Times New Roman" w:hAnsi="Times New Roman" w:cs="Times New Roman"/>
          <w:sz w:val="24"/>
          <w:szCs w:val="24"/>
        </w:rPr>
        <w:t xml:space="preserve">Delaware courts embraced the </w:t>
      </w:r>
      <w:r w:rsidR="00C30ACA" w:rsidRPr="0042152F">
        <w:rPr>
          <w:rFonts w:ascii="Times New Roman" w:hAnsi="Times New Roman" w:cs="Times New Roman"/>
          <w:i/>
          <w:iCs/>
          <w:sz w:val="24"/>
          <w:szCs w:val="24"/>
        </w:rPr>
        <w:t>MFW</w:t>
      </w:r>
      <w:r w:rsidR="00C30ACA" w:rsidRPr="0042152F">
        <w:rPr>
          <w:rFonts w:ascii="Times New Roman" w:hAnsi="Times New Roman" w:cs="Times New Roman"/>
          <w:sz w:val="24"/>
          <w:szCs w:val="24"/>
        </w:rPr>
        <w:t xml:space="preserve"> framework in large part because it allowed them to avoid judicial valuation when disinterested parties had </w:t>
      </w:r>
      <w:r w:rsidR="00185B0F">
        <w:rPr>
          <w:rFonts w:ascii="Times New Roman" w:hAnsi="Times New Roman" w:cs="Times New Roman"/>
          <w:sz w:val="24"/>
          <w:szCs w:val="24"/>
        </w:rPr>
        <w:t>approved</w:t>
      </w:r>
      <w:r w:rsidR="00C30ACA" w:rsidRPr="0042152F">
        <w:rPr>
          <w:rFonts w:ascii="Times New Roman" w:hAnsi="Times New Roman" w:cs="Times New Roman"/>
          <w:sz w:val="24"/>
          <w:szCs w:val="24"/>
        </w:rPr>
        <w:t xml:space="preserve"> the transaction. And yet, as Part I.B. revealed, the existing </w:t>
      </w:r>
      <w:r w:rsidR="00C30ACA" w:rsidRPr="0042152F">
        <w:rPr>
          <w:rFonts w:ascii="Times New Roman" w:hAnsi="Times New Roman" w:cs="Times New Roman"/>
          <w:i/>
          <w:iCs/>
          <w:sz w:val="24"/>
          <w:szCs w:val="24"/>
        </w:rPr>
        <w:t>MFW</w:t>
      </w:r>
      <w:r w:rsidR="00C30ACA" w:rsidRPr="0042152F">
        <w:rPr>
          <w:rFonts w:ascii="Times New Roman" w:hAnsi="Times New Roman" w:cs="Times New Roman"/>
          <w:sz w:val="24"/>
          <w:szCs w:val="24"/>
        </w:rPr>
        <w:t xml:space="preserve"> regime </w:t>
      </w:r>
      <w:r>
        <w:rPr>
          <w:rFonts w:ascii="Times New Roman" w:hAnsi="Times New Roman" w:cs="Times New Roman"/>
          <w:sz w:val="24"/>
          <w:szCs w:val="24"/>
        </w:rPr>
        <w:t>causes</w:t>
      </w:r>
      <w:r w:rsidR="00C30ACA" w:rsidRPr="0042152F">
        <w:rPr>
          <w:rFonts w:ascii="Times New Roman" w:hAnsi="Times New Roman" w:cs="Times New Roman"/>
          <w:sz w:val="24"/>
          <w:szCs w:val="24"/>
        </w:rPr>
        <w:t xml:space="preserve"> the shareholder vote (and therefore, the </w:t>
      </w:r>
      <w:r w:rsidR="00C30ACA" w:rsidRPr="0042152F">
        <w:rPr>
          <w:rFonts w:ascii="Times New Roman" w:hAnsi="Times New Roman" w:cs="Times New Roman"/>
          <w:i/>
          <w:iCs/>
          <w:sz w:val="24"/>
          <w:szCs w:val="24"/>
        </w:rPr>
        <w:t xml:space="preserve">MFW </w:t>
      </w:r>
      <w:r w:rsidR="00C30ACA" w:rsidRPr="0042152F">
        <w:rPr>
          <w:rFonts w:ascii="Times New Roman" w:hAnsi="Times New Roman" w:cs="Times New Roman"/>
          <w:sz w:val="24"/>
          <w:szCs w:val="24"/>
        </w:rPr>
        <w:t>cleansing test) to fail more often than it should</w:t>
      </w:r>
      <w:r>
        <w:rPr>
          <w:rFonts w:ascii="Times New Roman" w:hAnsi="Times New Roman" w:cs="Times New Roman"/>
          <w:sz w:val="24"/>
          <w:szCs w:val="24"/>
        </w:rPr>
        <w:t xml:space="preserve">, therefore </w:t>
      </w:r>
      <w:r w:rsidR="00185B0F">
        <w:rPr>
          <w:rFonts w:ascii="Times New Roman" w:hAnsi="Times New Roman" w:cs="Times New Roman"/>
          <w:sz w:val="24"/>
          <w:szCs w:val="24"/>
        </w:rPr>
        <w:t>subjecting more self-dealing transactions to judicial valuation than</w:t>
      </w:r>
      <w:r>
        <w:rPr>
          <w:rFonts w:ascii="Times New Roman" w:hAnsi="Times New Roman" w:cs="Times New Roman"/>
          <w:sz w:val="24"/>
          <w:szCs w:val="24"/>
        </w:rPr>
        <w:t xml:space="preserve"> was</w:t>
      </w:r>
      <w:r w:rsidR="00185B0F">
        <w:rPr>
          <w:rFonts w:ascii="Times New Roman" w:hAnsi="Times New Roman" w:cs="Times New Roman"/>
          <w:sz w:val="24"/>
          <w:szCs w:val="24"/>
        </w:rPr>
        <w:t xml:space="preserve"> initially intended</w:t>
      </w:r>
      <w:r w:rsidR="00C30ACA" w:rsidRPr="0042152F">
        <w:rPr>
          <w:rFonts w:ascii="Times New Roman" w:hAnsi="Times New Roman" w:cs="Times New Roman"/>
          <w:sz w:val="24"/>
          <w:szCs w:val="24"/>
        </w:rPr>
        <w:t>.</w:t>
      </w:r>
    </w:p>
    <w:p w14:paraId="5B50D89A" w14:textId="175643C1" w:rsidR="007D28B8" w:rsidRPr="0042152F" w:rsidRDefault="001925D1" w:rsidP="002E3243">
      <w:pPr>
        <w:spacing w:after="12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A</w:t>
      </w:r>
      <w:r w:rsidR="00215A4B">
        <w:rPr>
          <w:rFonts w:ascii="Times New Roman" w:hAnsi="Times New Roman" w:cs="Times New Roman"/>
          <w:sz w:val="24"/>
          <w:szCs w:val="24"/>
        </w:rPr>
        <w:t>ll in all, a</w:t>
      </w:r>
      <w:r w:rsidRPr="0042152F">
        <w:rPr>
          <w:rFonts w:ascii="Times New Roman" w:hAnsi="Times New Roman" w:cs="Times New Roman"/>
          <w:sz w:val="24"/>
          <w:szCs w:val="24"/>
        </w:rPr>
        <w:t xml:space="preserve">djusting the </w:t>
      </w:r>
      <w:r w:rsidRPr="0042152F">
        <w:rPr>
          <w:rFonts w:ascii="Times New Roman" w:hAnsi="Times New Roman" w:cs="Times New Roman"/>
          <w:i/>
          <w:iCs/>
          <w:sz w:val="24"/>
          <w:szCs w:val="24"/>
        </w:rPr>
        <w:t xml:space="preserve">MFW </w:t>
      </w:r>
      <w:r w:rsidRPr="0042152F">
        <w:rPr>
          <w:rFonts w:ascii="Times New Roman" w:hAnsi="Times New Roman" w:cs="Times New Roman"/>
          <w:sz w:val="24"/>
          <w:szCs w:val="24"/>
        </w:rPr>
        <w:t xml:space="preserve">framework in this way would </w:t>
      </w:r>
      <w:r w:rsidR="00D841C7" w:rsidRPr="0042152F">
        <w:rPr>
          <w:rFonts w:ascii="Times New Roman" w:hAnsi="Times New Roman" w:cs="Times New Roman"/>
          <w:sz w:val="24"/>
          <w:szCs w:val="24"/>
          <w:lang w:bidi="he-IL"/>
        </w:rPr>
        <w:t xml:space="preserve">give </w:t>
      </w:r>
      <w:r w:rsidR="003A0EAE" w:rsidRPr="0042152F">
        <w:rPr>
          <w:rFonts w:ascii="Times New Roman" w:hAnsi="Times New Roman" w:cs="Times New Roman"/>
          <w:sz w:val="24"/>
          <w:szCs w:val="24"/>
          <w:lang w:bidi="he-IL"/>
        </w:rPr>
        <w:t>the proper</w:t>
      </w:r>
      <w:r w:rsidRPr="0042152F">
        <w:rPr>
          <w:rFonts w:ascii="Times New Roman" w:hAnsi="Times New Roman" w:cs="Times New Roman"/>
          <w:sz w:val="24"/>
          <w:szCs w:val="24"/>
        </w:rPr>
        <w:t xml:space="preserve"> </w:t>
      </w:r>
      <w:r w:rsidR="003A0EAE" w:rsidRPr="0042152F">
        <w:rPr>
          <w:rFonts w:ascii="Times New Roman" w:hAnsi="Times New Roman" w:cs="Times New Roman"/>
          <w:sz w:val="24"/>
          <w:szCs w:val="24"/>
        </w:rPr>
        <w:t xml:space="preserve">weight to </w:t>
      </w:r>
      <w:r w:rsidRPr="0042152F">
        <w:rPr>
          <w:rFonts w:ascii="Times New Roman" w:hAnsi="Times New Roman" w:cs="Times New Roman"/>
          <w:sz w:val="24"/>
          <w:szCs w:val="24"/>
        </w:rPr>
        <w:t xml:space="preserve">the views of </w:t>
      </w:r>
      <w:r w:rsidR="003A0EAE" w:rsidRPr="0042152F">
        <w:rPr>
          <w:rFonts w:ascii="Times New Roman" w:hAnsi="Times New Roman" w:cs="Times New Roman"/>
          <w:sz w:val="24"/>
          <w:szCs w:val="24"/>
        </w:rPr>
        <w:t xml:space="preserve">disinterested </w:t>
      </w:r>
      <w:r w:rsidRPr="0042152F">
        <w:rPr>
          <w:rFonts w:ascii="Times New Roman" w:hAnsi="Times New Roman" w:cs="Times New Roman"/>
          <w:sz w:val="24"/>
          <w:szCs w:val="24"/>
        </w:rPr>
        <w:t>shareholders who have accepted a transaction’s terms</w:t>
      </w:r>
      <w:r w:rsidR="00AA202C">
        <w:rPr>
          <w:rFonts w:ascii="Times New Roman" w:hAnsi="Times New Roman" w:cs="Times New Roman"/>
          <w:sz w:val="24"/>
          <w:szCs w:val="24"/>
        </w:rPr>
        <w:t>.</w:t>
      </w:r>
      <w:r w:rsidRPr="0042152F">
        <w:rPr>
          <w:rFonts w:ascii="Times New Roman" w:hAnsi="Times New Roman" w:cs="Times New Roman"/>
          <w:sz w:val="24"/>
          <w:szCs w:val="24"/>
        </w:rPr>
        <w:t xml:space="preserve"> </w:t>
      </w:r>
      <w:r w:rsidR="00AA202C">
        <w:rPr>
          <w:rFonts w:ascii="Times New Roman" w:hAnsi="Times New Roman" w:cs="Times New Roman"/>
          <w:sz w:val="24"/>
          <w:szCs w:val="24"/>
        </w:rPr>
        <w:t>M</w:t>
      </w:r>
      <w:r w:rsidRPr="0042152F">
        <w:rPr>
          <w:rFonts w:ascii="Times New Roman" w:hAnsi="Times New Roman" w:cs="Times New Roman"/>
          <w:sz w:val="24"/>
          <w:szCs w:val="24"/>
        </w:rPr>
        <w:t xml:space="preserve">oreover, it would better respect the </w:t>
      </w:r>
      <w:r w:rsidRPr="0042152F">
        <w:rPr>
          <w:rFonts w:ascii="Times New Roman" w:hAnsi="Times New Roman" w:cs="Times New Roman"/>
          <w:i/>
          <w:iCs/>
          <w:sz w:val="24"/>
          <w:szCs w:val="24"/>
        </w:rPr>
        <w:t xml:space="preserve">MFW </w:t>
      </w:r>
      <w:r w:rsidRPr="0042152F">
        <w:rPr>
          <w:rFonts w:ascii="Times New Roman" w:hAnsi="Times New Roman" w:cs="Times New Roman"/>
          <w:sz w:val="24"/>
          <w:szCs w:val="24"/>
        </w:rPr>
        <w:t>framework, which was intended to offer two independent cleansing mechanisms to transactional planners.</w:t>
      </w:r>
      <w:r w:rsidR="00C57284" w:rsidRPr="0042152F">
        <w:rPr>
          <w:rFonts w:ascii="Times New Roman" w:hAnsi="Times New Roman" w:cs="Times New Roman"/>
          <w:sz w:val="24"/>
          <w:szCs w:val="24"/>
        </w:rPr>
        <w:t xml:space="preserve"> </w:t>
      </w:r>
      <w:r w:rsidR="00FB766D" w:rsidRPr="0042152F">
        <w:rPr>
          <w:rFonts w:ascii="Times New Roman" w:hAnsi="Times New Roman" w:cs="Times New Roman"/>
          <w:sz w:val="24"/>
          <w:szCs w:val="24"/>
        </w:rPr>
        <w:t xml:space="preserve">Any process deficiencies that fall below the standard of care for special committee negotiations could be challenged directly. </w:t>
      </w:r>
      <w:r w:rsidR="00FB766D">
        <w:rPr>
          <w:rFonts w:ascii="Times New Roman" w:hAnsi="Times New Roman" w:cs="Times New Roman"/>
          <w:sz w:val="24"/>
          <w:szCs w:val="24"/>
        </w:rPr>
        <w:t>And i</w:t>
      </w:r>
      <w:r w:rsidR="00FB766D" w:rsidRPr="0042152F">
        <w:rPr>
          <w:rFonts w:ascii="Times New Roman" w:hAnsi="Times New Roman" w:cs="Times New Roman"/>
          <w:sz w:val="24"/>
          <w:szCs w:val="24"/>
        </w:rPr>
        <w:t xml:space="preserve">f the committee failed to employ independent decisionmakers or a rigorous process, their approval would not have any cleansing effect, and the court could reflect on these deficiencies in the entire fairness analysis. However, these failures </w:t>
      </w:r>
      <w:r w:rsidR="00FB766D">
        <w:rPr>
          <w:rFonts w:ascii="Times New Roman" w:hAnsi="Times New Roman" w:cs="Times New Roman"/>
          <w:sz w:val="24"/>
          <w:szCs w:val="24"/>
        </w:rPr>
        <w:t>should</w:t>
      </w:r>
      <w:r w:rsidR="00FB766D" w:rsidRPr="0042152F">
        <w:rPr>
          <w:rFonts w:ascii="Times New Roman" w:hAnsi="Times New Roman" w:cs="Times New Roman"/>
          <w:sz w:val="24"/>
          <w:szCs w:val="24"/>
        </w:rPr>
        <w:t xml:space="preserve"> not also invalidate the shareholder vote. </w:t>
      </w:r>
      <w:r w:rsidR="00FB766D">
        <w:rPr>
          <w:rFonts w:ascii="Times New Roman" w:hAnsi="Times New Roman" w:cs="Times New Roman"/>
          <w:sz w:val="24"/>
          <w:szCs w:val="24"/>
        </w:rPr>
        <w:t>And b</w:t>
      </w:r>
      <w:r w:rsidR="00FB766D" w:rsidRPr="0042152F">
        <w:rPr>
          <w:rFonts w:ascii="Times New Roman" w:hAnsi="Times New Roman" w:cs="Times New Roman"/>
          <w:sz w:val="24"/>
          <w:szCs w:val="24"/>
        </w:rPr>
        <w:t xml:space="preserve">y </w:t>
      </w:r>
      <w:r w:rsidR="00C57284" w:rsidRPr="0042152F">
        <w:rPr>
          <w:rFonts w:ascii="Times New Roman" w:hAnsi="Times New Roman" w:cs="Times New Roman"/>
          <w:sz w:val="24"/>
          <w:szCs w:val="24"/>
        </w:rPr>
        <w:t xml:space="preserve">safeguarding the </w:t>
      </w:r>
      <w:r w:rsidR="00C57284" w:rsidRPr="0042152F">
        <w:rPr>
          <w:rFonts w:ascii="Times New Roman" w:hAnsi="Times New Roman" w:cs="Times New Roman"/>
          <w:i/>
          <w:iCs/>
          <w:sz w:val="24"/>
          <w:szCs w:val="24"/>
        </w:rPr>
        <w:t xml:space="preserve">MFW </w:t>
      </w:r>
      <w:r w:rsidR="00C57284" w:rsidRPr="0042152F">
        <w:rPr>
          <w:rFonts w:ascii="Times New Roman" w:hAnsi="Times New Roman" w:cs="Times New Roman"/>
          <w:sz w:val="24"/>
          <w:szCs w:val="24"/>
        </w:rPr>
        <w:t xml:space="preserve">framework, transactional planners </w:t>
      </w:r>
      <w:r w:rsidR="00FE3644">
        <w:rPr>
          <w:rFonts w:ascii="Times New Roman" w:hAnsi="Times New Roman" w:cs="Times New Roman"/>
          <w:sz w:val="24"/>
          <w:szCs w:val="24"/>
        </w:rPr>
        <w:t xml:space="preserve">would be able </w:t>
      </w:r>
      <w:r w:rsidR="00C57284" w:rsidRPr="0042152F">
        <w:rPr>
          <w:rFonts w:ascii="Times New Roman" w:hAnsi="Times New Roman" w:cs="Times New Roman"/>
          <w:sz w:val="24"/>
          <w:szCs w:val="24"/>
        </w:rPr>
        <w:t>to avoid judicial review of entrepreneurial vision more often.</w:t>
      </w:r>
    </w:p>
    <w:p w14:paraId="1EE35049" w14:textId="4C19CDE3" w:rsidR="0099158D" w:rsidRPr="0042152F" w:rsidRDefault="00DF6A7C" w:rsidP="00B54C7C">
      <w:pPr>
        <w:pStyle w:val="Heading3"/>
        <w:spacing w:before="0" w:after="0"/>
      </w:pPr>
      <w:bookmarkStart w:id="30" w:name="_Toc181789846"/>
      <w:r w:rsidRPr="0042152F">
        <w:t>ii</w:t>
      </w:r>
      <w:r w:rsidR="003A032D" w:rsidRPr="0042152F">
        <w:t>.</w:t>
      </w:r>
      <w:r w:rsidR="000A33A7" w:rsidRPr="0042152F">
        <w:tab/>
      </w:r>
      <w:r w:rsidR="00C57284" w:rsidRPr="0042152F">
        <w:t xml:space="preserve"> </w:t>
      </w:r>
      <w:r w:rsidR="00292A91" w:rsidRPr="0042152F">
        <w:t>Disclosure About the Special Committee</w:t>
      </w:r>
      <w:bookmarkEnd w:id="30"/>
    </w:p>
    <w:p w14:paraId="385F167A" w14:textId="5BE99032" w:rsidR="00B305C0" w:rsidRDefault="00292A9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O</w:t>
      </w:r>
      <w:r w:rsidR="00EF2A05" w:rsidRPr="0042152F">
        <w:rPr>
          <w:rFonts w:ascii="Times New Roman" w:hAnsi="Times New Roman" w:cs="Times New Roman"/>
          <w:sz w:val="24"/>
          <w:szCs w:val="24"/>
        </w:rPr>
        <w:t>ne concern</w:t>
      </w:r>
      <w:r w:rsidR="00C57284" w:rsidRPr="0042152F">
        <w:rPr>
          <w:rFonts w:ascii="Times New Roman" w:hAnsi="Times New Roman" w:cs="Times New Roman"/>
          <w:sz w:val="24"/>
          <w:szCs w:val="24"/>
        </w:rPr>
        <w:t xml:space="preserve"> with our proposal</w:t>
      </w:r>
      <w:r w:rsidR="00EF2A05" w:rsidRPr="0042152F">
        <w:rPr>
          <w:rFonts w:ascii="Times New Roman" w:hAnsi="Times New Roman" w:cs="Times New Roman"/>
          <w:sz w:val="24"/>
          <w:szCs w:val="24"/>
        </w:rPr>
        <w:t xml:space="preserve"> is that </w:t>
      </w:r>
      <w:r w:rsidR="009E7511">
        <w:rPr>
          <w:rFonts w:ascii="Times New Roman" w:hAnsi="Times New Roman" w:cs="Times New Roman"/>
          <w:sz w:val="24"/>
          <w:szCs w:val="24"/>
        </w:rPr>
        <w:t xml:space="preserve">it might disincentivize </w:t>
      </w:r>
      <w:r w:rsidR="00EF2A05" w:rsidRPr="0042152F">
        <w:rPr>
          <w:rFonts w:ascii="Times New Roman" w:hAnsi="Times New Roman" w:cs="Times New Roman"/>
          <w:sz w:val="24"/>
          <w:szCs w:val="24"/>
        </w:rPr>
        <w:t xml:space="preserve">companies </w:t>
      </w:r>
      <w:r w:rsidR="00784228" w:rsidRPr="0042152F">
        <w:rPr>
          <w:rFonts w:ascii="Times New Roman" w:hAnsi="Times New Roman" w:cs="Times New Roman"/>
          <w:sz w:val="24"/>
          <w:szCs w:val="24"/>
        </w:rPr>
        <w:t xml:space="preserve">to disclose </w:t>
      </w:r>
      <w:r w:rsidR="00EF2A05" w:rsidRPr="0042152F">
        <w:rPr>
          <w:rFonts w:ascii="Times New Roman" w:hAnsi="Times New Roman" w:cs="Times New Roman"/>
          <w:sz w:val="24"/>
          <w:szCs w:val="24"/>
        </w:rPr>
        <w:t xml:space="preserve">information about the </w:t>
      </w:r>
      <w:r w:rsidR="00784228" w:rsidRPr="0042152F">
        <w:rPr>
          <w:rFonts w:ascii="Times New Roman" w:hAnsi="Times New Roman" w:cs="Times New Roman"/>
          <w:sz w:val="24"/>
          <w:szCs w:val="24"/>
        </w:rPr>
        <w:t xml:space="preserve">bargaining </w:t>
      </w:r>
      <w:r w:rsidR="00EF2A05" w:rsidRPr="0042152F">
        <w:rPr>
          <w:rFonts w:ascii="Times New Roman" w:hAnsi="Times New Roman" w:cs="Times New Roman"/>
          <w:sz w:val="24"/>
          <w:szCs w:val="24"/>
        </w:rPr>
        <w:t xml:space="preserve">process and the </w:t>
      </w:r>
      <w:r w:rsidR="00784228" w:rsidRPr="0042152F">
        <w:rPr>
          <w:rFonts w:ascii="Times New Roman" w:hAnsi="Times New Roman" w:cs="Times New Roman"/>
          <w:sz w:val="24"/>
          <w:szCs w:val="24"/>
        </w:rPr>
        <w:t xml:space="preserve">special </w:t>
      </w:r>
      <w:r w:rsidR="00EF2A05" w:rsidRPr="0042152F">
        <w:rPr>
          <w:rFonts w:ascii="Times New Roman" w:hAnsi="Times New Roman" w:cs="Times New Roman"/>
          <w:sz w:val="24"/>
          <w:szCs w:val="24"/>
        </w:rPr>
        <w:t xml:space="preserve">committee </w:t>
      </w:r>
      <w:r w:rsidR="00784228" w:rsidRPr="0042152F">
        <w:rPr>
          <w:rFonts w:ascii="Times New Roman" w:hAnsi="Times New Roman" w:cs="Times New Roman"/>
          <w:sz w:val="24"/>
          <w:szCs w:val="24"/>
        </w:rPr>
        <w:t xml:space="preserve">composition </w:t>
      </w:r>
      <w:r w:rsidR="00EF2A05" w:rsidRPr="0042152F">
        <w:rPr>
          <w:rFonts w:ascii="Times New Roman" w:hAnsi="Times New Roman" w:cs="Times New Roman"/>
          <w:sz w:val="24"/>
          <w:szCs w:val="24"/>
        </w:rPr>
        <w:t>to shareholders</w:t>
      </w:r>
      <w:r w:rsidR="00784228" w:rsidRPr="0042152F">
        <w:rPr>
          <w:rFonts w:ascii="Times New Roman" w:hAnsi="Times New Roman" w:cs="Times New Roman"/>
          <w:sz w:val="24"/>
          <w:szCs w:val="24"/>
        </w:rPr>
        <w:t xml:space="preserve">. </w:t>
      </w:r>
      <w:r w:rsidR="00B305C0">
        <w:rPr>
          <w:rFonts w:ascii="Times New Roman" w:hAnsi="Times New Roman" w:cs="Times New Roman"/>
          <w:sz w:val="24"/>
          <w:szCs w:val="24"/>
        </w:rPr>
        <w:lastRenderedPageBreak/>
        <w:t xml:space="preserve">Our second proposal addresses this concern </w:t>
      </w:r>
      <w:r w:rsidR="00E5638D">
        <w:rPr>
          <w:rFonts w:ascii="Times New Roman" w:hAnsi="Times New Roman" w:cs="Times New Roman"/>
          <w:sz w:val="24"/>
          <w:szCs w:val="24"/>
        </w:rPr>
        <w:t xml:space="preserve">by calling on courts </w:t>
      </w:r>
      <w:r w:rsidR="003D6896">
        <w:rPr>
          <w:rFonts w:ascii="Times New Roman" w:hAnsi="Times New Roman" w:cs="Times New Roman"/>
          <w:sz w:val="24"/>
          <w:szCs w:val="24"/>
        </w:rPr>
        <w:t xml:space="preserve">to </w:t>
      </w:r>
      <w:r w:rsidR="003D6896" w:rsidRPr="0042152F">
        <w:rPr>
          <w:rFonts w:ascii="Times New Roman" w:hAnsi="Times New Roman" w:cs="Times New Roman"/>
          <w:sz w:val="24"/>
          <w:szCs w:val="24"/>
        </w:rPr>
        <w:t xml:space="preserve">adopt a </w:t>
      </w:r>
      <w:r w:rsidR="003D6896" w:rsidRPr="0042152F">
        <w:rPr>
          <w:rFonts w:ascii="Times New Roman" w:hAnsi="Times New Roman" w:cs="Times New Roman"/>
          <w:i/>
          <w:iCs/>
          <w:sz w:val="24"/>
          <w:szCs w:val="24"/>
        </w:rPr>
        <w:t>Corwin</w:t>
      </w:r>
      <w:r w:rsidR="003D6896" w:rsidRPr="0042152F">
        <w:rPr>
          <w:rFonts w:ascii="Times New Roman" w:hAnsi="Times New Roman" w:cs="Times New Roman"/>
          <w:sz w:val="24"/>
          <w:szCs w:val="24"/>
        </w:rPr>
        <w:t xml:space="preserve">-style rule that would </w:t>
      </w:r>
      <w:r w:rsidR="00801253">
        <w:rPr>
          <w:rFonts w:ascii="Times New Roman" w:hAnsi="Times New Roman" w:cs="Times New Roman"/>
          <w:sz w:val="24"/>
          <w:szCs w:val="24"/>
        </w:rPr>
        <w:t>encourage</w:t>
      </w:r>
      <w:r w:rsidR="00801253" w:rsidRPr="0042152F">
        <w:rPr>
          <w:rFonts w:ascii="Times New Roman" w:hAnsi="Times New Roman" w:cs="Times New Roman"/>
          <w:sz w:val="24"/>
          <w:szCs w:val="24"/>
        </w:rPr>
        <w:t xml:space="preserve"> </w:t>
      </w:r>
      <w:r w:rsidR="003D6896" w:rsidRPr="0042152F">
        <w:rPr>
          <w:rFonts w:ascii="Times New Roman" w:hAnsi="Times New Roman" w:cs="Times New Roman"/>
          <w:sz w:val="24"/>
          <w:szCs w:val="24"/>
        </w:rPr>
        <w:t>companies to provide full disclosure about the special committee process, including its flaws</w:t>
      </w:r>
      <w:r w:rsidR="003219C5">
        <w:rPr>
          <w:rFonts w:ascii="Times New Roman" w:hAnsi="Times New Roman" w:cs="Times New Roman"/>
          <w:sz w:val="24"/>
          <w:szCs w:val="24"/>
        </w:rPr>
        <w:t>.</w:t>
      </w:r>
    </w:p>
    <w:p w14:paraId="48D731A3" w14:textId="41CCFD7C" w:rsidR="001925D1" w:rsidRPr="0042152F" w:rsidRDefault="001925D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Although we are skeptical that</w:t>
      </w:r>
      <w:r w:rsidR="00F10795" w:rsidRPr="0042152F">
        <w:rPr>
          <w:rFonts w:ascii="Times New Roman" w:hAnsi="Times New Roman" w:cs="Times New Roman"/>
          <w:sz w:val="24"/>
          <w:szCs w:val="24"/>
        </w:rPr>
        <w:t xml:space="preserve"> </w:t>
      </w:r>
      <w:r w:rsidRPr="0042152F">
        <w:rPr>
          <w:rFonts w:ascii="Times New Roman" w:hAnsi="Times New Roman" w:cs="Times New Roman"/>
          <w:sz w:val="24"/>
          <w:szCs w:val="24"/>
        </w:rPr>
        <w:t>disclosure of process deficiencies would likely change a voting outcome,</w:t>
      </w:r>
      <w:r w:rsidR="00F10795" w:rsidRPr="0042152F">
        <w:rPr>
          <w:rFonts w:ascii="Times New Roman" w:hAnsi="Times New Roman" w:cs="Times New Roman"/>
          <w:sz w:val="24"/>
          <w:szCs w:val="24"/>
        </w:rPr>
        <w:t xml:space="preserve"> especially </w:t>
      </w:r>
      <w:r w:rsidR="00146BEE">
        <w:rPr>
          <w:rFonts w:ascii="Times New Roman" w:hAnsi="Times New Roman" w:cs="Times New Roman"/>
          <w:sz w:val="24"/>
          <w:szCs w:val="24"/>
        </w:rPr>
        <w:t>for transactions involving vision</w:t>
      </w:r>
      <w:r w:rsidR="00F10795" w:rsidRPr="0042152F">
        <w:rPr>
          <w:rFonts w:ascii="Times New Roman" w:hAnsi="Times New Roman" w:cs="Times New Roman"/>
          <w:sz w:val="24"/>
          <w:szCs w:val="24"/>
        </w:rPr>
        <w:t>,</w:t>
      </w:r>
      <w:r w:rsidRPr="0042152F">
        <w:rPr>
          <w:rFonts w:ascii="Times New Roman" w:hAnsi="Times New Roman" w:cs="Times New Roman"/>
          <w:sz w:val="24"/>
          <w:szCs w:val="24"/>
        </w:rPr>
        <w:t xml:space="preserve"> </w:t>
      </w:r>
      <w:r w:rsidR="00FB6082" w:rsidRPr="0042152F">
        <w:rPr>
          <w:rFonts w:ascii="Times New Roman" w:hAnsi="Times New Roman" w:cs="Times New Roman"/>
          <w:sz w:val="24"/>
          <w:szCs w:val="24"/>
        </w:rPr>
        <w:t xml:space="preserve">this </w:t>
      </w:r>
      <w:r w:rsidR="003968D0" w:rsidRPr="0042152F">
        <w:rPr>
          <w:rFonts w:ascii="Times New Roman" w:hAnsi="Times New Roman" w:cs="Times New Roman"/>
          <w:sz w:val="24"/>
          <w:szCs w:val="24"/>
        </w:rPr>
        <w:t xml:space="preserve">type of </w:t>
      </w:r>
      <w:r w:rsidRPr="0042152F">
        <w:rPr>
          <w:rFonts w:ascii="Times New Roman" w:hAnsi="Times New Roman" w:cs="Times New Roman"/>
          <w:sz w:val="24"/>
          <w:szCs w:val="24"/>
        </w:rPr>
        <w:t xml:space="preserve">disclosure </w:t>
      </w:r>
      <w:r w:rsidR="000C6216">
        <w:rPr>
          <w:rFonts w:ascii="Times New Roman" w:hAnsi="Times New Roman" w:cs="Times New Roman"/>
          <w:sz w:val="24"/>
          <w:szCs w:val="24"/>
        </w:rPr>
        <w:t xml:space="preserve">might </w:t>
      </w:r>
      <w:r w:rsidRPr="0042152F">
        <w:rPr>
          <w:rFonts w:ascii="Times New Roman" w:hAnsi="Times New Roman" w:cs="Times New Roman"/>
          <w:sz w:val="24"/>
          <w:szCs w:val="24"/>
        </w:rPr>
        <w:t xml:space="preserve">serve </w:t>
      </w:r>
      <w:r w:rsidR="003968D0" w:rsidRPr="0042152F">
        <w:rPr>
          <w:rFonts w:ascii="Times New Roman" w:hAnsi="Times New Roman" w:cs="Times New Roman"/>
          <w:sz w:val="24"/>
          <w:szCs w:val="24"/>
        </w:rPr>
        <w:t xml:space="preserve">valuable purposes. </w:t>
      </w:r>
      <w:r w:rsidR="00801253">
        <w:rPr>
          <w:rFonts w:ascii="Times New Roman" w:hAnsi="Times New Roman" w:cs="Times New Roman"/>
          <w:sz w:val="24"/>
          <w:szCs w:val="24"/>
        </w:rPr>
        <w:t>For one, it</w:t>
      </w:r>
      <w:r w:rsidR="00801253" w:rsidRPr="0042152F">
        <w:rPr>
          <w:rFonts w:ascii="Times New Roman" w:hAnsi="Times New Roman" w:cs="Times New Roman"/>
          <w:sz w:val="24"/>
          <w:szCs w:val="24"/>
        </w:rPr>
        <w:t xml:space="preserve"> </w:t>
      </w:r>
      <w:r w:rsidR="00801253">
        <w:rPr>
          <w:rFonts w:ascii="Times New Roman" w:hAnsi="Times New Roman" w:cs="Times New Roman"/>
          <w:sz w:val="24"/>
          <w:szCs w:val="24"/>
        </w:rPr>
        <w:t>could</w:t>
      </w:r>
      <w:r w:rsidR="00801253"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improve the negotiation process </w:t>
      </w:r>
      <w:r w:rsidRPr="0042152F">
        <w:rPr>
          <w:rFonts w:ascii="Times New Roman" w:hAnsi="Times New Roman" w:cs="Times New Roman"/>
          <w:i/>
          <w:iCs/>
          <w:sz w:val="24"/>
          <w:szCs w:val="24"/>
        </w:rPr>
        <w:t>ex ante</w:t>
      </w:r>
      <w:r w:rsidRPr="0042152F">
        <w:rPr>
          <w:rFonts w:ascii="Times New Roman" w:hAnsi="Times New Roman" w:cs="Times New Roman"/>
          <w:sz w:val="24"/>
          <w:szCs w:val="24"/>
        </w:rPr>
        <w:t>—when flaws are required to be disclosed, they are less likely to occur. Perhaps most important</w:t>
      </w:r>
      <w:r w:rsidR="0064205C">
        <w:rPr>
          <w:rFonts w:ascii="Times New Roman" w:hAnsi="Times New Roman" w:cs="Times New Roman"/>
          <w:sz w:val="24"/>
          <w:szCs w:val="24"/>
        </w:rPr>
        <w:t>ly</w:t>
      </w:r>
      <w:r w:rsidRPr="0042152F">
        <w:rPr>
          <w:rFonts w:ascii="Times New Roman" w:hAnsi="Times New Roman" w:cs="Times New Roman"/>
          <w:sz w:val="24"/>
          <w:szCs w:val="24"/>
        </w:rPr>
        <w:t>, full information about the special committee process aids shareholders who wish to challenge a transaction in court.</w:t>
      </w:r>
      <w:r w:rsidR="00723667" w:rsidRPr="0042152F">
        <w:rPr>
          <w:rFonts w:ascii="Times New Roman" w:hAnsi="Times New Roman" w:cs="Times New Roman"/>
          <w:sz w:val="24"/>
          <w:szCs w:val="24"/>
        </w:rPr>
        <w:t xml:space="preserve"> Finally, in some cases, </w:t>
      </w:r>
      <w:r w:rsidR="007875E1" w:rsidRPr="0042152F">
        <w:rPr>
          <w:rFonts w:ascii="Times New Roman" w:hAnsi="Times New Roman" w:cs="Times New Roman"/>
          <w:sz w:val="24"/>
          <w:szCs w:val="24"/>
        </w:rPr>
        <w:t xml:space="preserve">disclosure about </w:t>
      </w:r>
      <w:r w:rsidR="00723667" w:rsidRPr="0042152F">
        <w:rPr>
          <w:rFonts w:ascii="Times New Roman" w:hAnsi="Times New Roman" w:cs="Times New Roman"/>
          <w:sz w:val="24"/>
          <w:szCs w:val="24"/>
        </w:rPr>
        <w:t xml:space="preserve">flaws in the negotiation process </w:t>
      </w:r>
      <w:r w:rsidR="007875E1" w:rsidRPr="0042152F">
        <w:rPr>
          <w:rFonts w:ascii="Times New Roman" w:hAnsi="Times New Roman" w:cs="Times New Roman"/>
          <w:sz w:val="24"/>
          <w:szCs w:val="24"/>
        </w:rPr>
        <w:t>might alert shareholders to concerns about the transaction’s economic terms</w:t>
      </w:r>
      <w:r w:rsidR="00723667" w:rsidRPr="0042152F">
        <w:rPr>
          <w:rFonts w:ascii="Times New Roman" w:hAnsi="Times New Roman" w:cs="Times New Roman"/>
          <w:sz w:val="24"/>
          <w:szCs w:val="24"/>
        </w:rPr>
        <w:t>.</w:t>
      </w:r>
      <w:r w:rsidR="00771DF8" w:rsidRPr="0042152F">
        <w:rPr>
          <w:rStyle w:val="FootnoteReference"/>
          <w:rFonts w:ascii="Times New Roman" w:hAnsi="Times New Roman" w:cs="Times New Roman"/>
          <w:sz w:val="24"/>
          <w:szCs w:val="24"/>
        </w:rPr>
        <w:footnoteReference w:id="237"/>
      </w:r>
    </w:p>
    <w:p w14:paraId="0B9E3430" w14:textId="521585A0" w:rsidR="00D3242D" w:rsidRDefault="00AB3DDB" w:rsidP="00B54C7C">
      <w:pPr>
        <w:spacing w:after="0" w:line="360" w:lineRule="auto"/>
        <w:ind w:firstLine="720"/>
        <w:jc w:val="both"/>
        <w:rPr>
          <w:rFonts w:ascii="Times New Roman" w:hAnsi="Times New Roman" w:cs="Times New Roman"/>
          <w:sz w:val="24"/>
          <w:szCs w:val="24"/>
          <w:lang w:bidi="he-IL"/>
        </w:rPr>
      </w:pPr>
      <w:r>
        <w:rPr>
          <w:rFonts w:ascii="Times New Roman" w:hAnsi="Times New Roman" w:cs="Times New Roman"/>
          <w:sz w:val="24"/>
          <w:szCs w:val="24"/>
        </w:rPr>
        <w:t>For some transactions</w:t>
      </w:r>
      <w:r w:rsidR="00A66980" w:rsidRPr="0042152F">
        <w:rPr>
          <w:rFonts w:ascii="Times New Roman" w:hAnsi="Times New Roman" w:cs="Times New Roman"/>
          <w:sz w:val="24"/>
          <w:szCs w:val="24"/>
        </w:rPr>
        <w:t>, other bodies of law that mandate disclosure within conflict transactions ameliorate some of these concerns. For example, t</w:t>
      </w:r>
      <w:r w:rsidR="001E438B" w:rsidRPr="0042152F">
        <w:rPr>
          <w:rFonts w:ascii="Times New Roman" w:hAnsi="Times New Roman" w:cs="Times New Roman"/>
          <w:sz w:val="24"/>
          <w:szCs w:val="24"/>
        </w:rPr>
        <w:t xml:space="preserve">he judicial review of freezeout transactions occurs within the framework of extensive disclosure requirements mandated by </w:t>
      </w:r>
      <w:r w:rsidR="006630C8" w:rsidRPr="0042152F">
        <w:rPr>
          <w:rFonts w:ascii="Times New Roman" w:hAnsi="Times New Roman" w:cs="Times New Roman"/>
          <w:sz w:val="24"/>
          <w:szCs w:val="24"/>
        </w:rPr>
        <w:t>the SEC</w:t>
      </w:r>
      <w:r w:rsidR="00F10795" w:rsidRPr="0042152F">
        <w:rPr>
          <w:rFonts w:ascii="Times New Roman" w:hAnsi="Times New Roman" w:cs="Times New Roman"/>
          <w:sz w:val="24"/>
          <w:szCs w:val="24"/>
        </w:rPr>
        <w:t>:</w:t>
      </w:r>
      <w:r w:rsidR="006630C8" w:rsidRPr="0042152F">
        <w:rPr>
          <w:rFonts w:ascii="Times New Roman" w:hAnsi="Times New Roman" w:cs="Times New Roman"/>
          <w:sz w:val="24"/>
          <w:szCs w:val="24"/>
        </w:rPr>
        <w:t xml:space="preserve"> </w:t>
      </w:r>
      <w:r w:rsidR="001E438B" w:rsidRPr="0042152F">
        <w:rPr>
          <w:rFonts w:ascii="Times New Roman" w:hAnsi="Times New Roman" w:cs="Times New Roman"/>
          <w:sz w:val="24"/>
          <w:szCs w:val="24"/>
        </w:rPr>
        <w:t xml:space="preserve">Rule 13e-3 </w:t>
      </w:r>
      <w:r w:rsidR="006630C8" w:rsidRPr="0042152F">
        <w:rPr>
          <w:rFonts w:ascii="Times New Roman" w:hAnsi="Times New Roman" w:cs="Times New Roman"/>
          <w:sz w:val="24"/>
          <w:szCs w:val="24"/>
        </w:rPr>
        <w:t>require</w:t>
      </w:r>
      <w:r w:rsidR="00D00E74" w:rsidRPr="0042152F">
        <w:rPr>
          <w:rFonts w:ascii="Times New Roman" w:hAnsi="Times New Roman" w:cs="Times New Roman"/>
          <w:sz w:val="24"/>
          <w:szCs w:val="24"/>
        </w:rPr>
        <w:t>s</w:t>
      </w:r>
      <w:r w:rsidR="001E438B" w:rsidRPr="0042152F">
        <w:rPr>
          <w:rFonts w:ascii="Times New Roman" w:hAnsi="Times New Roman" w:cs="Times New Roman"/>
          <w:sz w:val="24"/>
          <w:szCs w:val="24"/>
        </w:rPr>
        <w:t xml:space="preserve"> companies to disclose comprehensive details</w:t>
      </w:r>
      <w:r w:rsidR="001925D1" w:rsidRPr="0042152F">
        <w:rPr>
          <w:rFonts w:ascii="Times New Roman" w:hAnsi="Times New Roman" w:cs="Times New Roman"/>
          <w:sz w:val="24"/>
          <w:szCs w:val="24"/>
        </w:rPr>
        <w:t xml:space="preserve"> about going private-transaction</w:t>
      </w:r>
      <w:r w:rsidR="00A66980" w:rsidRPr="0042152F">
        <w:rPr>
          <w:rFonts w:ascii="Times New Roman" w:hAnsi="Times New Roman" w:cs="Times New Roman"/>
          <w:sz w:val="24"/>
          <w:szCs w:val="24"/>
        </w:rPr>
        <w:t>s</w:t>
      </w:r>
      <w:r w:rsidR="001E438B" w:rsidRPr="0042152F">
        <w:rPr>
          <w:rFonts w:ascii="Times New Roman" w:hAnsi="Times New Roman" w:cs="Times New Roman"/>
          <w:sz w:val="24"/>
          <w:szCs w:val="24"/>
        </w:rPr>
        <w:t xml:space="preserve">, </w:t>
      </w:r>
      <w:r w:rsidR="0064205C">
        <w:rPr>
          <w:rFonts w:ascii="Times New Roman" w:hAnsi="Times New Roman" w:cs="Times New Roman"/>
          <w:sz w:val="24"/>
          <w:szCs w:val="24"/>
        </w:rPr>
        <w:t xml:space="preserve">including </w:t>
      </w:r>
      <w:r w:rsidR="001E438B" w:rsidRPr="0042152F">
        <w:rPr>
          <w:rFonts w:ascii="Times New Roman" w:hAnsi="Times New Roman" w:cs="Times New Roman"/>
          <w:sz w:val="24"/>
          <w:szCs w:val="24"/>
        </w:rPr>
        <w:t xml:space="preserve">not only the economic terms and fairness of the proposed merger but also the negotiation process </w:t>
      </w:r>
      <w:r w:rsidR="00922DE6" w:rsidRPr="0042152F">
        <w:rPr>
          <w:rFonts w:ascii="Times New Roman" w:hAnsi="Times New Roman" w:cs="Times New Roman"/>
          <w:sz w:val="24"/>
          <w:szCs w:val="24"/>
        </w:rPr>
        <w:t>leading to it</w:t>
      </w:r>
      <w:r w:rsidR="001E438B" w:rsidRPr="0042152F">
        <w:rPr>
          <w:rFonts w:ascii="Times New Roman" w:hAnsi="Times New Roman" w:cs="Times New Roman"/>
          <w:sz w:val="24"/>
          <w:szCs w:val="24"/>
        </w:rPr>
        <w:t>.</w:t>
      </w:r>
      <w:bookmarkStart w:id="31" w:name="_Ref181862310"/>
      <w:r w:rsidR="00922DE6" w:rsidRPr="0042152F">
        <w:rPr>
          <w:rStyle w:val="FootnoteReference"/>
          <w:rFonts w:ascii="Times New Roman" w:hAnsi="Times New Roman" w:cs="Times New Roman"/>
          <w:sz w:val="24"/>
          <w:szCs w:val="24"/>
        </w:rPr>
        <w:footnoteReference w:id="238"/>
      </w:r>
      <w:bookmarkEnd w:id="31"/>
      <w:r w:rsidR="001E438B" w:rsidRPr="0042152F">
        <w:rPr>
          <w:rFonts w:ascii="Times New Roman" w:hAnsi="Times New Roman" w:cs="Times New Roman"/>
          <w:sz w:val="24"/>
          <w:szCs w:val="24"/>
        </w:rPr>
        <w:t xml:space="preserve"> In contrast, the </w:t>
      </w:r>
      <w:r w:rsidR="00C210D0" w:rsidRPr="0042152F">
        <w:rPr>
          <w:rFonts w:ascii="Times New Roman" w:hAnsi="Times New Roman" w:cs="Times New Roman"/>
          <w:sz w:val="24"/>
          <w:szCs w:val="24"/>
        </w:rPr>
        <w:t xml:space="preserve">SEC </w:t>
      </w:r>
      <w:r w:rsidR="001E438B" w:rsidRPr="0042152F">
        <w:rPr>
          <w:rFonts w:ascii="Times New Roman" w:hAnsi="Times New Roman" w:cs="Times New Roman"/>
          <w:sz w:val="24"/>
          <w:szCs w:val="24"/>
        </w:rPr>
        <w:t>disclosure requirements for other related</w:t>
      </w:r>
      <w:r w:rsidR="00C210D0" w:rsidRPr="0042152F">
        <w:rPr>
          <w:rFonts w:ascii="Times New Roman" w:hAnsi="Times New Roman" w:cs="Times New Roman"/>
          <w:sz w:val="24"/>
          <w:szCs w:val="24"/>
        </w:rPr>
        <w:t>-</w:t>
      </w:r>
      <w:r w:rsidR="001E438B" w:rsidRPr="0042152F">
        <w:rPr>
          <w:rFonts w:ascii="Times New Roman" w:hAnsi="Times New Roman" w:cs="Times New Roman"/>
          <w:sz w:val="24"/>
          <w:szCs w:val="24"/>
        </w:rPr>
        <w:t xml:space="preserve">party transactions are </w:t>
      </w:r>
      <w:r w:rsidR="00C210D0" w:rsidRPr="0042152F">
        <w:rPr>
          <w:rFonts w:ascii="Times New Roman" w:hAnsi="Times New Roman" w:cs="Times New Roman"/>
          <w:sz w:val="24"/>
          <w:szCs w:val="24"/>
          <w:lang w:bidi="he-IL"/>
        </w:rPr>
        <w:t>far less demandin</w:t>
      </w:r>
      <w:r w:rsidR="00EC0345" w:rsidRPr="0042152F">
        <w:rPr>
          <w:rFonts w:ascii="Times New Roman" w:hAnsi="Times New Roman" w:cs="Times New Roman"/>
          <w:sz w:val="24"/>
          <w:szCs w:val="24"/>
          <w:lang w:bidi="he-IL"/>
        </w:rPr>
        <w:t>g</w:t>
      </w:r>
      <w:r w:rsidR="00D00E74" w:rsidRPr="0042152F">
        <w:rPr>
          <w:rFonts w:ascii="Times New Roman" w:hAnsi="Times New Roman" w:cs="Times New Roman"/>
          <w:sz w:val="24"/>
          <w:szCs w:val="24"/>
          <w:lang w:bidi="he-IL"/>
        </w:rPr>
        <w:t xml:space="preserve">. </w:t>
      </w:r>
      <w:r w:rsidR="001E438B" w:rsidRPr="0042152F">
        <w:rPr>
          <w:rFonts w:ascii="Times New Roman" w:hAnsi="Times New Roman" w:cs="Times New Roman"/>
          <w:sz w:val="24"/>
          <w:szCs w:val="24"/>
        </w:rPr>
        <w:t>Companies are required to disclose information retrospectively</w:t>
      </w:r>
      <w:r w:rsidR="000A70A2" w:rsidRPr="0042152F">
        <w:rPr>
          <w:rFonts w:ascii="Times New Roman" w:hAnsi="Times New Roman" w:cs="Times New Roman"/>
          <w:sz w:val="24"/>
          <w:szCs w:val="24"/>
        </w:rPr>
        <w:t>, in their periodic reports,</w:t>
      </w:r>
      <w:r w:rsidR="001E438B" w:rsidRPr="0042152F">
        <w:rPr>
          <w:rFonts w:ascii="Times New Roman" w:hAnsi="Times New Roman" w:cs="Times New Roman"/>
          <w:sz w:val="24"/>
          <w:szCs w:val="24"/>
        </w:rPr>
        <w:t xml:space="preserve"> about certain material transactions in which insiders have a </w:t>
      </w:r>
      <w:r w:rsidR="00A66980" w:rsidRPr="0042152F">
        <w:rPr>
          <w:rFonts w:ascii="Times New Roman" w:hAnsi="Times New Roman" w:cs="Times New Roman"/>
          <w:sz w:val="24"/>
          <w:szCs w:val="24"/>
        </w:rPr>
        <w:t>“</w:t>
      </w:r>
      <w:r w:rsidR="001E438B" w:rsidRPr="0042152F">
        <w:rPr>
          <w:rFonts w:ascii="Times New Roman" w:hAnsi="Times New Roman" w:cs="Times New Roman"/>
          <w:sz w:val="24"/>
          <w:szCs w:val="24"/>
        </w:rPr>
        <w:t>direct or indirect</w:t>
      </w:r>
      <w:r w:rsidR="00A66980" w:rsidRPr="0042152F">
        <w:rPr>
          <w:rFonts w:ascii="Times New Roman" w:hAnsi="Times New Roman" w:cs="Times New Roman"/>
          <w:sz w:val="24"/>
          <w:szCs w:val="24"/>
        </w:rPr>
        <w:t xml:space="preserve">” </w:t>
      </w:r>
      <w:r w:rsidR="001E438B" w:rsidRPr="0042152F">
        <w:rPr>
          <w:rFonts w:ascii="Times New Roman" w:hAnsi="Times New Roman" w:cs="Times New Roman"/>
          <w:sz w:val="24"/>
          <w:szCs w:val="24"/>
        </w:rPr>
        <w:t>material interest</w:t>
      </w:r>
      <w:r w:rsidR="00A66980" w:rsidRPr="0042152F">
        <w:rPr>
          <w:rFonts w:ascii="Times New Roman" w:hAnsi="Times New Roman" w:cs="Times New Roman"/>
          <w:sz w:val="24"/>
          <w:szCs w:val="24"/>
        </w:rPr>
        <w:t xml:space="preserve">, as well as their </w:t>
      </w:r>
      <w:r w:rsidR="000A70A2" w:rsidRPr="0042152F">
        <w:rPr>
          <w:rFonts w:ascii="Times New Roman" w:hAnsi="Times New Roman" w:cs="Times New Roman"/>
          <w:sz w:val="24"/>
          <w:szCs w:val="24"/>
        </w:rPr>
        <w:t>policies for approving these transactions</w:t>
      </w:r>
      <w:r w:rsidR="001E438B" w:rsidRPr="0042152F">
        <w:rPr>
          <w:rFonts w:ascii="Times New Roman" w:hAnsi="Times New Roman" w:cs="Times New Roman"/>
          <w:sz w:val="24"/>
          <w:szCs w:val="24"/>
        </w:rPr>
        <w:t>.</w:t>
      </w:r>
      <w:r w:rsidR="000A70A2" w:rsidRPr="0042152F">
        <w:rPr>
          <w:rStyle w:val="FootnoteReference"/>
          <w:rFonts w:ascii="Times New Roman" w:hAnsi="Times New Roman" w:cs="Times New Roman"/>
          <w:sz w:val="24"/>
          <w:szCs w:val="24"/>
        </w:rPr>
        <w:footnoteReference w:id="239"/>
      </w:r>
      <w:r w:rsidR="001E438B" w:rsidRPr="0042152F">
        <w:rPr>
          <w:rFonts w:ascii="Times New Roman" w:hAnsi="Times New Roman" w:cs="Times New Roman"/>
          <w:sz w:val="24"/>
          <w:szCs w:val="24"/>
        </w:rPr>
        <w:t xml:space="preserve"> </w:t>
      </w:r>
      <w:r w:rsidR="00FE53F2" w:rsidRPr="0042152F">
        <w:rPr>
          <w:rFonts w:ascii="Times New Roman" w:hAnsi="Times New Roman" w:cs="Times New Roman"/>
          <w:sz w:val="24"/>
          <w:szCs w:val="24"/>
        </w:rPr>
        <w:t>Companies are not required,</w:t>
      </w:r>
      <w:r w:rsidR="005A6282" w:rsidRPr="0042152F">
        <w:rPr>
          <w:rFonts w:ascii="Times New Roman" w:hAnsi="Times New Roman" w:cs="Times New Roman"/>
          <w:sz w:val="24"/>
          <w:szCs w:val="24"/>
        </w:rPr>
        <w:t xml:space="preserve"> however, to disclose information about the process </w:t>
      </w:r>
      <w:r w:rsidR="001861B5" w:rsidRPr="0042152F">
        <w:rPr>
          <w:rFonts w:ascii="Times New Roman" w:hAnsi="Times New Roman" w:cs="Times New Roman"/>
          <w:sz w:val="24"/>
          <w:szCs w:val="24"/>
        </w:rPr>
        <w:t xml:space="preserve">leading to the transaction. </w:t>
      </w:r>
    </w:p>
    <w:p w14:paraId="0E24AD1C" w14:textId="380DDA4A" w:rsidR="007D1316" w:rsidRDefault="00215C0C"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We believe that the SEC disclosure rules should be modified to require more disclosure of related-party transactions and the process underlying them.</w:t>
      </w:r>
      <w:r w:rsidRPr="0042152F">
        <w:rPr>
          <w:rStyle w:val="FootnoteReference"/>
          <w:rFonts w:ascii="Times New Roman" w:hAnsi="Times New Roman" w:cs="Times New Roman"/>
          <w:sz w:val="24"/>
          <w:szCs w:val="24"/>
        </w:rPr>
        <w:footnoteReference w:id="240"/>
      </w:r>
      <w:r>
        <w:rPr>
          <w:rFonts w:ascii="Times New Roman" w:hAnsi="Times New Roman" w:cs="Times New Roman"/>
          <w:sz w:val="24"/>
          <w:szCs w:val="24"/>
        </w:rPr>
        <w:t xml:space="preserve"> </w:t>
      </w:r>
      <w:r w:rsidR="0012444A">
        <w:rPr>
          <w:rFonts w:ascii="Times New Roman" w:hAnsi="Times New Roman" w:cs="Times New Roman"/>
          <w:sz w:val="24"/>
          <w:szCs w:val="24"/>
        </w:rPr>
        <w:t>The existing and</w:t>
      </w:r>
      <w:r w:rsidR="0012444A" w:rsidRPr="0042152F">
        <w:rPr>
          <w:rFonts w:ascii="Times New Roman" w:hAnsi="Times New Roman" w:cs="Times New Roman"/>
          <w:sz w:val="24"/>
          <w:szCs w:val="24"/>
        </w:rPr>
        <w:t xml:space="preserve"> </w:t>
      </w:r>
      <w:r w:rsidR="001E438B" w:rsidRPr="0042152F">
        <w:rPr>
          <w:rFonts w:ascii="Times New Roman" w:hAnsi="Times New Roman" w:cs="Times New Roman"/>
          <w:sz w:val="24"/>
          <w:szCs w:val="24"/>
        </w:rPr>
        <w:t xml:space="preserve">relatively lax </w:t>
      </w:r>
      <w:r w:rsidR="001E438B" w:rsidRPr="0042152F">
        <w:rPr>
          <w:rFonts w:ascii="Times New Roman" w:hAnsi="Times New Roman" w:cs="Times New Roman"/>
          <w:sz w:val="24"/>
          <w:szCs w:val="24"/>
        </w:rPr>
        <w:lastRenderedPageBreak/>
        <w:t>disclosure environment complicates the efforts of plaintiffs to challenge related party transactions effectively.</w:t>
      </w:r>
      <w:bookmarkStart w:id="32" w:name="_Ref181862314"/>
      <w:r w:rsidR="007B2BA1" w:rsidRPr="0042152F">
        <w:rPr>
          <w:rStyle w:val="FootnoteReference"/>
          <w:rFonts w:ascii="Times New Roman" w:hAnsi="Times New Roman" w:cs="Times New Roman"/>
          <w:sz w:val="24"/>
          <w:szCs w:val="24"/>
        </w:rPr>
        <w:footnoteReference w:id="241"/>
      </w:r>
      <w:bookmarkEnd w:id="32"/>
      <w:r w:rsidR="001E438B" w:rsidRPr="0042152F">
        <w:rPr>
          <w:rFonts w:ascii="Times New Roman" w:hAnsi="Times New Roman" w:cs="Times New Roman"/>
          <w:sz w:val="24"/>
          <w:szCs w:val="24"/>
        </w:rPr>
        <w:t xml:space="preserve"> </w:t>
      </w:r>
    </w:p>
    <w:p w14:paraId="4E77F360" w14:textId="01C25697" w:rsidR="007D1316" w:rsidRDefault="007D1316"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And yet, t</w:t>
      </w:r>
      <w:r w:rsidR="001E438B" w:rsidRPr="0042152F">
        <w:rPr>
          <w:rFonts w:ascii="Times New Roman" w:hAnsi="Times New Roman" w:cs="Times New Roman"/>
          <w:sz w:val="24"/>
          <w:szCs w:val="24"/>
        </w:rPr>
        <w:t xml:space="preserve">he disparity in disclosure requirements </w:t>
      </w:r>
      <w:r w:rsidR="000B45CC" w:rsidRPr="0042152F">
        <w:rPr>
          <w:rFonts w:ascii="Times New Roman" w:hAnsi="Times New Roman" w:cs="Times New Roman"/>
          <w:sz w:val="24"/>
          <w:szCs w:val="24"/>
        </w:rPr>
        <w:t xml:space="preserve">also </w:t>
      </w:r>
      <w:r w:rsidR="001E438B" w:rsidRPr="0042152F">
        <w:rPr>
          <w:rFonts w:ascii="Times New Roman" w:hAnsi="Times New Roman" w:cs="Times New Roman"/>
          <w:sz w:val="24"/>
          <w:szCs w:val="24"/>
        </w:rPr>
        <w:t xml:space="preserve">highlights the </w:t>
      </w:r>
      <w:r w:rsidR="007B2BA1" w:rsidRPr="0042152F">
        <w:rPr>
          <w:rFonts w:ascii="Times New Roman" w:hAnsi="Times New Roman" w:cs="Times New Roman"/>
          <w:sz w:val="24"/>
          <w:szCs w:val="24"/>
        </w:rPr>
        <w:t xml:space="preserve">role of state corporate law in </w:t>
      </w:r>
      <w:r w:rsidR="00952F1A" w:rsidRPr="0042152F">
        <w:rPr>
          <w:rFonts w:ascii="Times New Roman" w:hAnsi="Times New Roman" w:cs="Times New Roman"/>
          <w:sz w:val="24"/>
          <w:szCs w:val="24"/>
        </w:rPr>
        <w:t xml:space="preserve">incentivizing disclosure to </w:t>
      </w:r>
      <w:r w:rsidR="001E438B" w:rsidRPr="0042152F">
        <w:rPr>
          <w:rFonts w:ascii="Times New Roman" w:hAnsi="Times New Roman" w:cs="Times New Roman"/>
          <w:sz w:val="24"/>
          <w:szCs w:val="24"/>
        </w:rPr>
        <w:t xml:space="preserve">protect shareholders in </w:t>
      </w:r>
      <w:r w:rsidR="00787C65" w:rsidRPr="0042152F">
        <w:rPr>
          <w:rFonts w:ascii="Times New Roman" w:hAnsi="Times New Roman" w:cs="Times New Roman"/>
          <w:sz w:val="24"/>
          <w:szCs w:val="24"/>
        </w:rPr>
        <w:t>self-dealing transactions that a</w:t>
      </w:r>
      <w:r>
        <w:rPr>
          <w:rFonts w:ascii="Times New Roman" w:hAnsi="Times New Roman" w:cs="Times New Roman"/>
          <w:sz w:val="24"/>
          <w:szCs w:val="24"/>
        </w:rPr>
        <w:t>r</w:t>
      </w:r>
      <w:r w:rsidR="00787C65" w:rsidRPr="0042152F">
        <w:rPr>
          <w:rFonts w:ascii="Times New Roman" w:hAnsi="Times New Roman" w:cs="Times New Roman"/>
          <w:sz w:val="24"/>
          <w:szCs w:val="24"/>
        </w:rPr>
        <w:t xml:space="preserve">e not </w:t>
      </w:r>
      <w:r w:rsidR="001E438B" w:rsidRPr="0042152F">
        <w:rPr>
          <w:rFonts w:ascii="Times New Roman" w:hAnsi="Times New Roman" w:cs="Times New Roman"/>
          <w:sz w:val="24"/>
          <w:szCs w:val="24"/>
        </w:rPr>
        <w:t>going private transactions</w:t>
      </w:r>
      <w:r>
        <w:rPr>
          <w:rFonts w:ascii="Times New Roman" w:hAnsi="Times New Roman" w:cs="Times New Roman"/>
          <w:sz w:val="24"/>
          <w:szCs w:val="24"/>
        </w:rPr>
        <w:t>. As such</w:t>
      </w:r>
      <w:r w:rsidR="00EF2A05" w:rsidRPr="0042152F">
        <w:rPr>
          <w:rFonts w:ascii="Times New Roman" w:hAnsi="Times New Roman" w:cs="Times New Roman"/>
          <w:sz w:val="24"/>
          <w:szCs w:val="24"/>
        </w:rPr>
        <w:t xml:space="preserve">, we propose that Delaware adopt a </w:t>
      </w:r>
      <w:r w:rsidR="00EF2A05" w:rsidRPr="0042152F">
        <w:rPr>
          <w:rFonts w:ascii="Times New Roman" w:hAnsi="Times New Roman" w:cs="Times New Roman"/>
          <w:i/>
          <w:iCs/>
          <w:sz w:val="24"/>
          <w:szCs w:val="24"/>
        </w:rPr>
        <w:t>Corwin</w:t>
      </w:r>
      <w:r w:rsidR="00EF2A05" w:rsidRPr="0042152F">
        <w:rPr>
          <w:rFonts w:ascii="Times New Roman" w:hAnsi="Times New Roman" w:cs="Times New Roman"/>
          <w:sz w:val="24"/>
          <w:szCs w:val="24"/>
        </w:rPr>
        <w:t xml:space="preserve">-style rule that would </w:t>
      </w:r>
      <w:r w:rsidR="00D644AC" w:rsidRPr="0042152F">
        <w:rPr>
          <w:rFonts w:ascii="Times New Roman" w:hAnsi="Times New Roman" w:cs="Times New Roman"/>
          <w:sz w:val="24"/>
          <w:szCs w:val="24"/>
        </w:rPr>
        <w:t xml:space="preserve">incentivize </w:t>
      </w:r>
      <w:r w:rsidR="00EF2A05" w:rsidRPr="0042152F">
        <w:rPr>
          <w:rFonts w:ascii="Times New Roman" w:hAnsi="Times New Roman" w:cs="Times New Roman"/>
          <w:sz w:val="24"/>
          <w:szCs w:val="24"/>
        </w:rPr>
        <w:t xml:space="preserve">companies </w:t>
      </w:r>
      <w:r w:rsidR="00D644AC" w:rsidRPr="0042152F">
        <w:rPr>
          <w:rFonts w:ascii="Times New Roman" w:hAnsi="Times New Roman" w:cs="Times New Roman"/>
          <w:sz w:val="24"/>
          <w:szCs w:val="24"/>
        </w:rPr>
        <w:t xml:space="preserve">to </w:t>
      </w:r>
      <w:r w:rsidR="00EF2A05" w:rsidRPr="0042152F">
        <w:rPr>
          <w:rFonts w:ascii="Times New Roman" w:hAnsi="Times New Roman" w:cs="Times New Roman"/>
          <w:sz w:val="24"/>
          <w:szCs w:val="24"/>
        </w:rPr>
        <w:t>provide full disclosure about the special committee process</w:t>
      </w:r>
      <w:r w:rsidR="000C3DAD" w:rsidRPr="0042152F">
        <w:rPr>
          <w:rFonts w:ascii="Times New Roman" w:hAnsi="Times New Roman" w:cs="Times New Roman"/>
          <w:sz w:val="24"/>
          <w:szCs w:val="24"/>
        </w:rPr>
        <w:t>, including its flaws</w:t>
      </w:r>
      <w:r w:rsidR="00EF2A05" w:rsidRPr="0042152F">
        <w:rPr>
          <w:rFonts w:ascii="Times New Roman" w:hAnsi="Times New Roman" w:cs="Times New Roman"/>
          <w:sz w:val="24"/>
          <w:szCs w:val="24"/>
        </w:rPr>
        <w:t>.</w:t>
      </w:r>
      <w:r w:rsidR="00101FF7" w:rsidRPr="0042152F">
        <w:rPr>
          <w:rStyle w:val="FootnoteReference"/>
          <w:rFonts w:ascii="Times New Roman" w:hAnsi="Times New Roman" w:cs="Times New Roman"/>
          <w:sz w:val="24"/>
          <w:szCs w:val="24"/>
        </w:rPr>
        <w:footnoteReference w:id="242"/>
      </w:r>
      <w:r w:rsidR="00EF2A05" w:rsidRPr="0042152F">
        <w:rPr>
          <w:rFonts w:ascii="Times New Roman" w:hAnsi="Times New Roman" w:cs="Times New Roman"/>
          <w:sz w:val="24"/>
          <w:szCs w:val="24"/>
        </w:rPr>
        <w:t xml:space="preserve"> </w:t>
      </w:r>
    </w:p>
    <w:p w14:paraId="201BA8CE" w14:textId="3F074CDF" w:rsidR="000637C6" w:rsidRDefault="00D94C11" w:rsidP="00B54C7C">
      <w:pPr>
        <w:spacing w:after="0" w:line="360" w:lineRule="auto"/>
        <w:ind w:firstLine="720"/>
        <w:jc w:val="both"/>
        <w:rPr>
          <w:rStyle w:val="FootnoteReference"/>
          <w:rFonts w:ascii="Times New Roman" w:hAnsi="Times New Roman" w:cs="Times New Roman"/>
          <w:sz w:val="24"/>
          <w:szCs w:val="24"/>
        </w:rPr>
      </w:pPr>
      <w:r w:rsidRPr="0042152F">
        <w:rPr>
          <w:rFonts w:ascii="Times New Roman" w:hAnsi="Times New Roman" w:cs="Times New Roman"/>
          <w:sz w:val="24"/>
          <w:szCs w:val="24"/>
        </w:rPr>
        <w:t xml:space="preserve">Recall that our modified regime calls for courts to align the </w:t>
      </w:r>
      <w:r w:rsidR="00DA012E" w:rsidRPr="0042152F">
        <w:rPr>
          <w:rFonts w:ascii="Times New Roman" w:hAnsi="Times New Roman" w:cs="Times New Roman"/>
          <w:sz w:val="24"/>
          <w:szCs w:val="24"/>
        </w:rPr>
        <w:t xml:space="preserve">requirement for an effective special committee </w:t>
      </w:r>
      <w:r w:rsidR="00E52409">
        <w:rPr>
          <w:rFonts w:ascii="Times New Roman" w:hAnsi="Times New Roman" w:cs="Times New Roman"/>
          <w:sz w:val="24"/>
          <w:szCs w:val="24"/>
        </w:rPr>
        <w:t xml:space="preserve">under </w:t>
      </w:r>
      <w:r w:rsidR="00E52409" w:rsidRPr="00970DA4">
        <w:rPr>
          <w:rFonts w:ascii="Times New Roman" w:hAnsi="Times New Roman" w:cs="Times New Roman"/>
          <w:i/>
          <w:iCs/>
          <w:sz w:val="24"/>
          <w:szCs w:val="24"/>
        </w:rPr>
        <w:t>MFW</w:t>
      </w:r>
      <w:r w:rsidR="00E52409">
        <w:rPr>
          <w:rFonts w:ascii="Times New Roman" w:hAnsi="Times New Roman" w:cs="Times New Roman"/>
          <w:sz w:val="24"/>
          <w:szCs w:val="24"/>
        </w:rPr>
        <w:t xml:space="preserve"> </w:t>
      </w:r>
      <w:r w:rsidR="00DA012E" w:rsidRPr="0042152F">
        <w:rPr>
          <w:rFonts w:ascii="Times New Roman" w:hAnsi="Times New Roman" w:cs="Times New Roman"/>
          <w:sz w:val="24"/>
          <w:szCs w:val="24"/>
        </w:rPr>
        <w:t xml:space="preserve">with </w:t>
      </w:r>
      <w:r w:rsidR="00567758" w:rsidRPr="0042152F">
        <w:rPr>
          <w:rFonts w:ascii="Times New Roman" w:hAnsi="Times New Roman" w:cs="Times New Roman"/>
          <w:sz w:val="24"/>
          <w:szCs w:val="24"/>
        </w:rPr>
        <w:t xml:space="preserve">the disclosure requirements concerning the committee. </w:t>
      </w:r>
      <w:r w:rsidR="006A5ED4" w:rsidRPr="0042152F">
        <w:rPr>
          <w:rFonts w:ascii="Times New Roman" w:hAnsi="Times New Roman" w:cs="Times New Roman"/>
          <w:sz w:val="24"/>
          <w:szCs w:val="24"/>
        </w:rPr>
        <w:t>Accordingly, u</w:t>
      </w:r>
      <w:r w:rsidR="00567758" w:rsidRPr="0042152F">
        <w:rPr>
          <w:rFonts w:ascii="Times New Roman" w:hAnsi="Times New Roman" w:cs="Times New Roman"/>
          <w:sz w:val="24"/>
          <w:szCs w:val="24"/>
        </w:rPr>
        <w:t xml:space="preserve">nder our modified regime, </w:t>
      </w:r>
      <w:r w:rsidR="006A5ED4" w:rsidRPr="0042152F">
        <w:rPr>
          <w:rFonts w:ascii="Times New Roman" w:hAnsi="Times New Roman" w:cs="Times New Roman"/>
          <w:sz w:val="24"/>
          <w:szCs w:val="24"/>
        </w:rPr>
        <w:t xml:space="preserve">full disclosure concerning the committee </w:t>
      </w:r>
      <w:r w:rsidR="006050D3" w:rsidRPr="0042152F">
        <w:rPr>
          <w:rFonts w:ascii="Times New Roman" w:hAnsi="Times New Roman" w:cs="Times New Roman"/>
          <w:sz w:val="24"/>
          <w:szCs w:val="24"/>
        </w:rPr>
        <w:t xml:space="preserve">process </w:t>
      </w:r>
      <w:r w:rsidR="006A5ED4" w:rsidRPr="0042152F">
        <w:rPr>
          <w:rFonts w:ascii="Times New Roman" w:hAnsi="Times New Roman" w:cs="Times New Roman"/>
          <w:sz w:val="24"/>
          <w:szCs w:val="24"/>
        </w:rPr>
        <w:t xml:space="preserve">would </w:t>
      </w:r>
      <w:r w:rsidR="00F1689B">
        <w:rPr>
          <w:rFonts w:ascii="Times New Roman" w:hAnsi="Times New Roman" w:cs="Times New Roman"/>
          <w:sz w:val="24"/>
          <w:szCs w:val="24"/>
        </w:rPr>
        <w:t xml:space="preserve">play an important role in </w:t>
      </w:r>
      <w:r w:rsidR="00F1689B" w:rsidRPr="0042152F">
        <w:rPr>
          <w:rFonts w:ascii="Times New Roman" w:hAnsi="Times New Roman" w:cs="Times New Roman"/>
          <w:sz w:val="24"/>
          <w:szCs w:val="24"/>
        </w:rPr>
        <w:t>enabl</w:t>
      </w:r>
      <w:r w:rsidR="00F1689B">
        <w:rPr>
          <w:rFonts w:ascii="Times New Roman" w:hAnsi="Times New Roman" w:cs="Times New Roman"/>
          <w:sz w:val="24"/>
          <w:szCs w:val="24"/>
        </w:rPr>
        <w:t>ing</w:t>
      </w:r>
      <w:r w:rsidR="00F1689B" w:rsidRPr="0042152F">
        <w:rPr>
          <w:rFonts w:ascii="Times New Roman" w:hAnsi="Times New Roman" w:cs="Times New Roman"/>
          <w:sz w:val="24"/>
          <w:szCs w:val="24"/>
        </w:rPr>
        <w:t xml:space="preserve"> </w:t>
      </w:r>
      <w:r w:rsidR="00986984" w:rsidRPr="0042152F">
        <w:rPr>
          <w:rFonts w:ascii="Times New Roman" w:hAnsi="Times New Roman" w:cs="Times New Roman"/>
          <w:sz w:val="24"/>
          <w:szCs w:val="24"/>
        </w:rPr>
        <w:t xml:space="preserve">the company to satisfy the special committee condition under </w:t>
      </w:r>
      <w:r w:rsidR="00986984" w:rsidRPr="0042152F">
        <w:rPr>
          <w:rFonts w:ascii="Times New Roman" w:hAnsi="Times New Roman" w:cs="Times New Roman"/>
          <w:i/>
          <w:iCs/>
          <w:sz w:val="24"/>
          <w:szCs w:val="24"/>
        </w:rPr>
        <w:t>MFW</w:t>
      </w:r>
      <w:r w:rsidR="00986984" w:rsidRPr="0042152F">
        <w:rPr>
          <w:rFonts w:ascii="Times New Roman" w:hAnsi="Times New Roman" w:cs="Times New Roman"/>
          <w:sz w:val="24"/>
          <w:szCs w:val="24"/>
        </w:rPr>
        <w:t xml:space="preserve">. </w:t>
      </w:r>
      <w:r w:rsidR="000637C6">
        <w:rPr>
          <w:rFonts w:ascii="Times New Roman" w:hAnsi="Times New Roman" w:cs="Times New Roman"/>
          <w:sz w:val="24"/>
          <w:szCs w:val="24"/>
        </w:rPr>
        <w:t>Under our proposal</w:t>
      </w:r>
      <w:r w:rsidR="000637C6" w:rsidRPr="0042152F">
        <w:rPr>
          <w:rFonts w:ascii="Times New Roman" w:hAnsi="Times New Roman" w:cs="Times New Roman"/>
          <w:sz w:val="24"/>
          <w:szCs w:val="24"/>
        </w:rPr>
        <w:t xml:space="preserve">, before the shareholder vote takes place, shareholders could sue and ask for more disclosure about the special committee’s process or enjoin the vote if there is inadequate disclosure </w:t>
      </w:r>
      <w:r w:rsidR="000637C6">
        <w:rPr>
          <w:rFonts w:ascii="Times New Roman" w:hAnsi="Times New Roman" w:cs="Times New Roman"/>
          <w:sz w:val="24"/>
          <w:szCs w:val="24"/>
        </w:rPr>
        <w:t xml:space="preserve">about the special committee </w:t>
      </w:r>
      <w:r w:rsidR="000637C6" w:rsidRPr="0042152F">
        <w:rPr>
          <w:rFonts w:ascii="Times New Roman" w:hAnsi="Times New Roman" w:cs="Times New Roman"/>
          <w:sz w:val="24"/>
          <w:szCs w:val="24"/>
        </w:rPr>
        <w:t xml:space="preserve">or </w:t>
      </w:r>
      <w:r w:rsidR="000637C6">
        <w:rPr>
          <w:rFonts w:ascii="Times New Roman" w:hAnsi="Times New Roman" w:cs="Times New Roman"/>
          <w:sz w:val="24"/>
          <w:szCs w:val="24"/>
        </w:rPr>
        <w:t xml:space="preserve">if the available disclosure indicates </w:t>
      </w:r>
      <w:r w:rsidR="000637C6" w:rsidRPr="0042152F">
        <w:rPr>
          <w:rFonts w:ascii="Times New Roman" w:hAnsi="Times New Roman" w:cs="Times New Roman"/>
          <w:sz w:val="24"/>
          <w:szCs w:val="24"/>
        </w:rPr>
        <w:t xml:space="preserve">a failure to conduct a proper special committee process. </w:t>
      </w:r>
      <w:r w:rsidR="000637C6">
        <w:rPr>
          <w:rFonts w:ascii="Times New Roman" w:hAnsi="Times New Roman" w:cs="Times New Roman"/>
          <w:sz w:val="24"/>
          <w:szCs w:val="24"/>
        </w:rPr>
        <w:t>But if</w:t>
      </w:r>
      <w:r w:rsidR="00BC7FC9" w:rsidRPr="0042152F">
        <w:rPr>
          <w:rFonts w:ascii="Times New Roman" w:hAnsi="Times New Roman" w:cs="Times New Roman"/>
          <w:sz w:val="24"/>
          <w:szCs w:val="24"/>
        </w:rPr>
        <w:t xml:space="preserve"> the company fully discloses information about the composition of the committee and the process that it used, and the disinterested shareholders then vote to approve the transaction based on this disclosure, then this vote </w:t>
      </w:r>
      <w:r w:rsidR="000637C6">
        <w:rPr>
          <w:rFonts w:ascii="Times New Roman" w:hAnsi="Times New Roman" w:cs="Times New Roman"/>
          <w:sz w:val="24"/>
          <w:szCs w:val="24"/>
        </w:rPr>
        <w:t>sh</w:t>
      </w:r>
      <w:r w:rsidR="000637C6" w:rsidRPr="0042152F">
        <w:rPr>
          <w:rFonts w:ascii="Times New Roman" w:hAnsi="Times New Roman" w:cs="Times New Roman"/>
          <w:sz w:val="24"/>
          <w:szCs w:val="24"/>
        </w:rPr>
        <w:t xml:space="preserve">ould </w:t>
      </w:r>
      <w:r w:rsidR="00BC7FC9" w:rsidRPr="0042152F">
        <w:rPr>
          <w:rFonts w:ascii="Times New Roman" w:hAnsi="Times New Roman" w:cs="Times New Roman"/>
          <w:sz w:val="24"/>
          <w:szCs w:val="24"/>
        </w:rPr>
        <w:t>insulate the transaction from post-closing claims for money damages to the extent they challenge the cleansing effect of the special committee process.</w:t>
      </w:r>
      <w:r w:rsidR="00BC7FC9" w:rsidRPr="00C74D01">
        <w:rPr>
          <w:rStyle w:val="FootnoteReference"/>
          <w:rFonts w:ascii="Times New Roman" w:hAnsi="Times New Roman" w:cs="Times New Roman"/>
          <w:sz w:val="24"/>
          <w:szCs w:val="24"/>
        </w:rPr>
        <w:t xml:space="preserve"> </w:t>
      </w:r>
      <w:r w:rsidR="00BC7FC9">
        <w:rPr>
          <w:rStyle w:val="FootnoteReference"/>
          <w:rFonts w:ascii="Times New Roman" w:hAnsi="Times New Roman" w:cs="Times New Roman"/>
          <w:sz w:val="24"/>
          <w:szCs w:val="24"/>
        </w:rPr>
        <w:footnoteReference w:id="243"/>
      </w:r>
      <w:r w:rsidR="000637C6">
        <w:rPr>
          <w:rFonts w:ascii="Times New Roman" w:hAnsi="Times New Roman" w:cs="Times New Roman"/>
          <w:sz w:val="24"/>
          <w:szCs w:val="24"/>
        </w:rPr>
        <w:t xml:space="preserve"> </w:t>
      </w:r>
    </w:p>
    <w:p w14:paraId="31E88B37" w14:textId="4E696625" w:rsidR="00893E2E" w:rsidRDefault="0066754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This </w:t>
      </w:r>
      <w:r w:rsidR="00226D0B" w:rsidRPr="0042152F">
        <w:rPr>
          <w:rFonts w:ascii="Times New Roman" w:hAnsi="Times New Roman" w:cs="Times New Roman"/>
          <w:sz w:val="24"/>
          <w:szCs w:val="24"/>
        </w:rPr>
        <w:t xml:space="preserve">rule </w:t>
      </w:r>
      <w:r w:rsidR="00E22D5D">
        <w:rPr>
          <w:rFonts w:ascii="Times New Roman" w:hAnsi="Times New Roman" w:cs="Times New Roman"/>
          <w:sz w:val="24"/>
          <w:szCs w:val="24"/>
        </w:rPr>
        <w:t xml:space="preserve">offers several advantages. First, it </w:t>
      </w:r>
      <w:r w:rsidR="00226D0B" w:rsidRPr="0042152F">
        <w:rPr>
          <w:rFonts w:ascii="Times New Roman" w:hAnsi="Times New Roman" w:cs="Times New Roman"/>
          <w:sz w:val="24"/>
          <w:szCs w:val="24"/>
        </w:rPr>
        <w:t xml:space="preserve">would encourage companies to fully and accurately disclose information about the committee and its process to shareholders. </w:t>
      </w:r>
      <w:r w:rsidR="00435402">
        <w:rPr>
          <w:rFonts w:ascii="Times New Roman" w:hAnsi="Times New Roman" w:cs="Times New Roman"/>
          <w:sz w:val="24"/>
          <w:szCs w:val="24"/>
        </w:rPr>
        <w:t>Shareholder approval of the transaction based on</w:t>
      </w:r>
      <w:r w:rsidR="00226D0B" w:rsidRPr="0042152F">
        <w:rPr>
          <w:rFonts w:ascii="Times New Roman" w:hAnsi="Times New Roman" w:cs="Times New Roman"/>
          <w:sz w:val="24"/>
          <w:szCs w:val="24"/>
        </w:rPr>
        <w:t xml:space="preserve"> </w:t>
      </w:r>
      <w:r w:rsidR="00FF6CD9" w:rsidRPr="0042152F">
        <w:rPr>
          <w:rFonts w:ascii="Times New Roman" w:hAnsi="Times New Roman" w:cs="Times New Roman"/>
          <w:sz w:val="24"/>
          <w:szCs w:val="24"/>
        </w:rPr>
        <w:t xml:space="preserve">full disclosure of all material information about the special committee </w:t>
      </w:r>
      <w:r w:rsidR="004E7DB8" w:rsidRPr="0042152F">
        <w:rPr>
          <w:rFonts w:ascii="Times New Roman" w:hAnsi="Times New Roman" w:cs="Times New Roman"/>
          <w:sz w:val="24"/>
          <w:szCs w:val="24"/>
        </w:rPr>
        <w:t xml:space="preserve">would virtually eliminate the risk that courts would </w:t>
      </w:r>
      <w:r w:rsidR="007A3F68" w:rsidRPr="0042152F">
        <w:rPr>
          <w:rFonts w:ascii="Times New Roman" w:hAnsi="Times New Roman" w:cs="Times New Roman"/>
          <w:sz w:val="24"/>
          <w:szCs w:val="24"/>
        </w:rPr>
        <w:t xml:space="preserve">determine that the special committee </w:t>
      </w:r>
      <w:r w:rsidR="002C3C60" w:rsidRPr="0042152F">
        <w:rPr>
          <w:rFonts w:ascii="Times New Roman" w:hAnsi="Times New Roman" w:cs="Times New Roman"/>
          <w:sz w:val="24"/>
          <w:szCs w:val="24"/>
        </w:rPr>
        <w:t xml:space="preserve">condition under </w:t>
      </w:r>
      <w:r w:rsidR="002C3C60" w:rsidRPr="0042152F">
        <w:rPr>
          <w:rFonts w:ascii="Times New Roman" w:hAnsi="Times New Roman" w:cs="Times New Roman"/>
          <w:i/>
          <w:iCs/>
          <w:sz w:val="24"/>
          <w:szCs w:val="24"/>
        </w:rPr>
        <w:t xml:space="preserve">MFW </w:t>
      </w:r>
      <w:r w:rsidR="002C3C60" w:rsidRPr="0042152F">
        <w:rPr>
          <w:rFonts w:ascii="Times New Roman" w:hAnsi="Times New Roman" w:cs="Times New Roman"/>
          <w:sz w:val="24"/>
          <w:szCs w:val="24"/>
        </w:rPr>
        <w:t>was not satisfied.</w:t>
      </w:r>
      <w:r w:rsidR="00B62149" w:rsidRPr="0042152F">
        <w:rPr>
          <w:rFonts w:ascii="Times New Roman" w:hAnsi="Times New Roman" w:cs="Times New Roman"/>
          <w:sz w:val="24"/>
          <w:szCs w:val="24"/>
        </w:rPr>
        <w:t xml:space="preserve"> </w:t>
      </w:r>
      <w:r w:rsidR="00CD6718" w:rsidRPr="0042152F">
        <w:rPr>
          <w:rFonts w:ascii="Times New Roman" w:hAnsi="Times New Roman" w:cs="Times New Roman"/>
          <w:sz w:val="24"/>
          <w:szCs w:val="24"/>
        </w:rPr>
        <w:t>By contrast, if the disclosure is inaccurate</w:t>
      </w:r>
      <w:r w:rsidR="00CD6718">
        <w:rPr>
          <w:rFonts w:ascii="Times New Roman" w:hAnsi="Times New Roman" w:cs="Times New Roman"/>
          <w:sz w:val="24"/>
          <w:szCs w:val="24"/>
        </w:rPr>
        <w:t>, incomplete</w:t>
      </w:r>
      <w:r w:rsidR="00CD6718" w:rsidRPr="0042152F">
        <w:rPr>
          <w:rFonts w:ascii="Times New Roman" w:hAnsi="Times New Roman" w:cs="Times New Roman"/>
          <w:sz w:val="24"/>
          <w:szCs w:val="24"/>
        </w:rPr>
        <w:t xml:space="preserve"> or misleading, the special committee process would not be protected from later challenges.</w:t>
      </w:r>
      <w:r w:rsidR="00CD6718" w:rsidRPr="0042152F">
        <w:rPr>
          <w:rStyle w:val="FootnoteReference"/>
          <w:rFonts w:ascii="Times New Roman" w:hAnsi="Times New Roman" w:cs="Times New Roman"/>
          <w:sz w:val="24"/>
          <w:szCs w:val="24"/>
        </w:rPr>
        <w:footnoteReference w:id="244"/>
      </w:r>
      <w:r w:rsidR="00CD6718" w:rsidRPr="0042152F">
        <w:rPr>
          <w:rFonts w:ascii="Times New Roman" w:hAnsi="Times New Roman" w:cs="Times New Roman"/>
          <w:sz w:val="24"/>
          <w:szCs w:val="24"/>
        </w:rPr>
        <w:t xml:space="preserve"> </w:t>
      </w:r>
      <w:r w:rsidR="00435C03">
        <w:rPr>
          <w:rFonts w:ascii="Times New Roman" w:hAnsi="Times New Roman" w:cs="Times New Roman"/>
          <w:sz w:val="24"/>
          <w:szCs w:val="24"/>
        </w:rPr>
        <w:t xml:space="preserve">Most important, deficient disclosure concerning the special committee process would deny defendants one of the most important advantages of the </w:t>
      </w:r>
      <w:r w:rsidR="00435C03" w:rsidRPr="001055BE">
        <w:rPr>
          <w:rFonts w:ascii="Times New Roman" w:hAnsi="Times New Roman" w:cs="Times New Roman"/>
          <w:i/>
          <w:iCs/>
          <w:sz w:val="24"/>
          <w:szCs w:val="24"/>
        </w:rPr>
        <w:t>MFW</w:t>
      </w:r>
      <w:r w:rsidR="00435C03">
        <w:rPr>
          <w:rFonts w:ascii="Times New Roman" w:hAnsi="Times New Roman" w:cs="Times New Roman"/>
          <w:sz w:val="24"/>
          <w:szCs w:val="24"/>
        </w:rPr>
        <w:t xml:space="preserve"> framework—the </w:t>
      </w:r>
      <w:r w:rsidR="001C4CAF">
        <w:rPr>
          <w:rFonts w:ascii="Times New Roman" w:hAnsi="Times New Roman" w:cs="Times New Roman"/>
          <w:sz w:val="24"/>
          <w:szCs w:val="24"/>
        </w:rPr>
        <w:t>ability to avoid trial by having courts dismiss the lawsuit challenging the transa</w:t>
      </w:r>
      <w:r w:rsidR="005163C2">
        <w:rPr>
          <w:rFonts w:ascii="Times New Roman" w:hAnsi="Times New Roman" w:cs="Times New Roman"/>
          <w:sz w:val="24"/>
          <w:szCs w:val="24"/>
        </w:rPr>
        <w:t>ction.</w:t>
      </w:r>
      <w:r w:rsidR="009C08EE">
        <w:rPr>
          <w:rStyle w:val="FootnoteReference"/>
          <w:rFonts w:ascii="Times New Roman" w:hAnsi="Times New Roman" w:cs="Times New Roman"/>
          <w:sz w:val="24"/>
          <w:szCs w:val="24"/>
        </w:rPr>
        <w:footnoteReference w:id="245"/>
      </w:r>
      <w:r w:rsidR="005163C2">
        <w:rPr>
          <w:rFonts w:ascii="Times New Roman" w:hAnsi="Times New Roman" w:cs="Times New Roman"/>
          <w:sz w:val="24"/>
          <w:szCs w:val="24"/>
        </w:rPr>
        <w:t xml:space="preserve"> </w:t>
      </w:r>
      <w:r w:rsidR="00CD6718">
        <w:rPr>
          <w:rFonts w:ascii="Times New Roman" w:hAnsi="Times New Roman" w:cs="Times New Roman"/>
          <w:sz w:val="24"/>
          <w:szCs w:val="24"/>
        </w:rPr>
        <w:t xml:space="preserve">Therefore, the company would be highly encouraged to supply information that is comprehensive and accurate. This likely effect is especially important if the SEC does not modify the disclosure regime concerning related party transactions. </w:t>
      </w:r>
    </w:p>
    <w:p w14:paraId="52535039" w14:textId="2C1B601C" w:rsidR="00326DEE" w:rsidRDefault="007A34C4"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 </w:t>
      </w:r>
      <w:r w:rsidR="005C1DB3">
        <w:rPr>
          <w:rFonts w:ascii="Times New Roman" w:hAnsi="Times New Roman" w:cs="Times New Roman"/>
          <w:sz w:val="24"/>
          <w:szCs w:val="24"/>
        </w:rPr>
        <w:t xml:space="preserve">our proposal </w:t>
      </w:r>
      <w:r w:rsidR="00A723F0">
        <w:rPr>
          <w:rFonts w:ascii="Times New Roman" w:hAnsi="Times New Roman" w:cs="Times New Roman"/>
          <w:sz w:val="24"/>
          <w:szCs w:val="24"/>
        </w:rPr>
        <w:t xml:space="preserve">creates a better alignment between the disclosure </w:t>
      </w:r>
      <w:r w:rsidR="00D063AB">
        <w:rPr>
          <w:rFonts w:ascii="Times New Roman" w:hAnsi="Times New Roman" w:cs="Times New Roman"/>
          <w:sz w:val="24"/>
          <w:szCs w:val="24"/>
        </w:rPr>
        <w:t xml:space="preserve">regime and the logic underlying the </w:t>
      </w:r>
      <w:r w:rsidR="00D063AB" w:rsidRPr="00952A82">
        <w:rPr>
          <w:rFonts w:ascii="Times New Roman" w:hAnsi="Times New Roman" w:cs="Times New Roman"/>
          <w:i/>
          <w:iCs/>
          <w:sz w:val="24"/>
          <w:szCs w:val="24"/>
        </w:rPr>
        <w:t>MFW</w:t>
      </w:r>
      <w:r w:rsidR="00D063AB">
        <w:rPr>
          <w:rFonts w:ascii="Times New Roman" w:hAnsi="Times New Roman" w:cs="Times New Roman"/>
          <w:sz w:val="24"/>
          <w:szCs w:val="24"/>
        </w:rPr>
        <w:t xml:space="preserve"> framework. </w:t>
      </w:r>
      <w:r w:rsidR="009235E9">
        <w:rPr>
          <w:rFonts w:ascii="Times New Roman" w:hAnsi="Times New Roman" w:cs="Times New Roman"/>
          <w:sz w:val="24"/>
          <w:szCs w:val="24"/>
        </w:rPr>
        <w:t xml:space="preserve">Disclosure about </w:t>
      </w:r>
      <w:r w:rsidR="008B6DB9">
        <w:rPr>
          <w:rFonts w:ascii="Times New Roman" w:hAnsi="Times New Roman" w:cs="Times New Roman"/>
          <w:sz w:val="24"/>
          <w:szCs w:val="24"/>
        </w:rPr>
        <w:t>a</w:t>
      </w:r>
      <w:r w:rsidR="009235E9">
        <w:rPr>
          <w:rFonts w:ascii="Times New Roman" w:hAnsi="Times New Roman" w:cs="Times New Roman"/>
          <w:sz w:val="24"/>
          <w:szCs w:val="24"/>
        </w:rPr>
        <w:t xml:space="preserve"> transaction’s economic terms is critical </w:t>
      </w:r>
      <w:r w:rsidR="00084104">
        <w:rPr>
          <w:rFonts w:ascii="Times New Roman" w:hAnsi="Times New Roman" w:cs="Times New Roman"/>
          <w:sz w:val="24"/>
          <w:szCs w:val="24"/>
        </w:rPr>
        <w:t>for shareholders’ ability to de</w:t>
      </w:r>
      <w:r w:rsidR="008B6DB9">
        <w:rPr>
          <w:rFonts w:ascii="Times New Roman" w:hAnsi="Times New Roman" w:cs="Times New Roman"/>
          <w:sz w:val="24"/>
          <w:szCs w:val="24"/>
        </w:rPr>
        <w:t xml:space="preserve">termine whether the proposed transaction </w:t>
      </w:r>
      <w:r w:rsidR="00115D65">
        <w:rPr>
          <w:rFonts w:ascii="Times New Roman" w:hAnsi="Times New Roman" w:cs="Times New Roman"/>
          <w:sz w:val="24"/>
          <w:szCs w:val="24"/>
        </w:rPr>
        <w:t>is beneficial</w:t>
      </w:r>
      <w:r w:rsidR="00115D65" w:rsidRPr="00970DA4">
        <w:rPr>
          <w:rFonts w:ascii="Times New Roman" w:hAnsi="Times New Roman" w:cs="Times New Roman"/>
          <w:sz w:val="24"/>
          <w:szCs w:val="24"/>
        </w:rPr>
        <w:t xml:space="preserve">. </w:t>
      </w:r>
      <w:r w:rsidR="00B37D01" w:rsidRPr="00970DA4">
        <w:rPr>
          <w:rFonts w:ascii="Times New Roman" w:hAnsi="Times New Roman" w:cs="Times New Roman"/>
          <w:sz w:val="24"/>
          <w:szCs w:val="24"/>
        </w:rPr>
        <w:t xml:space="preserve">When shareholders </w:t>
      </w:r>
      <w:r w:rsidR="002F179F" w:rsidRPr="00970DA4">
        <w:rPr>
          <w:rFonts w:ascii="Times New Roman" w:hAnsi="Times New Roman" w:cs="Times New Roman"/>
          <w:sz w:val="24"/>
          <w:szCs w:val="24"/>
        </w:rPr>
        <w:t xml:space="preserve">vote to approve a transaction with incomplete or misleading information about </w:t>
      </w:r>
      <w:r w:rsidR="0007448F" w:rsidRPr="00970DA4">
        <w:rPr>
          <w:rFonts w:ascii="Times New Roman" w:hAnsi="Times New Roman" w:cs="Times New Roman"/>
          <w:sz w:val="24"/>
          <w:szCs w:val="24"/>
        </w:rPr>
        <w:t xml:space="preserve">its financial terms, their vote </w:t>
      </w:r>
      <w:r w:rsidR="003E0E55" w:rsidRPr="00970DA4">
        <w:rPr>
          <w:rFonts w:ascii="Times New Roman" w:hAnsi="Times New Roman" w:cs="Times New Roman"/>
          <w:sz w:val="24"/>
          <w:szCs w:val="24"/>
        </w:rPr>
        <w:t xml:space="preserve">is not indicative of the </w:t>
      </w:r>
      <w:r w:rsidR="002F5541" w:rsidRPr="00970DA4">
        <w:rPr>
          <w:rFonts w:ascii="Times New Roman" w:hAnsi="Times New Roman" w:cs="Times New Roman"/>
          <w:sz w:val="24"/>
          <w:szCs w:val="24"/>
        </w:rPr>
        <w:t xml:space="preserve">transaction’s fairness. </w:t>
      </w:r>
      <w:r w:rsidR="00F34563" w:rsidRPr="00970DA4">
        <w:rPr>
          <w:rFonts w:ascii="Times New Roman" w:hAnsi="Times New Roman" w:cs="Times New Roman"/>
          <w:sz w:val="24"/>
          <w:szCs w:val="24"/>
        </w:rPr>
        <w:t xml:space="preserve">Accordingly, </w:t>
      </w:r>
      <w:r w:rsidR="001D5D05" w:rsidRPr="00970DA4">
        <w:rPr>
          <w:rFonts w:ascii="Times New Roman" w:hAnsi="Times New Roman" w:cs="Times New Roman"/>
          <w:sz w:val="24"/>
          <w:szCs w:val="24"/>
        </w:rPr>
        <w:t>the</w:t>
      </w:r>
      <w:r w:rsidR="001D5D05">
        <w:rPr>
          <w:rFonts w:ascii="Times New Roman" w:hAnsi="Times New Roman" w:cs="Times New Roman"/>
          <w:sz w:val="24"/>
          <w:szCs w:val="24"/>
        </w:rPr>
        <w:t xml:space="preserve"> majority-of-minority cleansing condition cannot be satisfied </w:t>
      </w:r>
      <w:r w:rsidR="00FF76D4">
        <w:rPr>
          <w:rFonts w:ascii="Times New Roman" w:hAnsi="Times New Roman" w:cs="Times New Roman"/>
          <w:sz w:val="24"/>
          <w:szCs w:val="24"/>
        </w:rPr>
        <w:t xml:space="preserve">with deficient </w:t>
      </w:r>
      <w:r w:rsidR="00F34563">
        <w:rPr>
          <w:rFonts w:ascii="Times New Roman" w:hAnsi="Times New Roman" w:cs="Times New Roman"/>
          <w:sz w:val="24"/>
          <w:szCs w:val="24"/>
        </w:rPr>
        <w:t xml:space="preserve">disclosure concerning </w:t>
      </w:r>
      <w:r w:rsidR="002F5541">
        <w:rPr>
          <w:rFonts w:ascii="Times New Roman" w:hAnsi="Times New Roman" w:cs="Times New Roman"/>
          <w:sz w:val="24"/>
          <w:szCs w:val="24"/>
        </w:rPr>
        <w:t xml:space="preserve">financial </w:t>
      </w:r>
      <w:r w:rsidR="001D5D05">
        <w:rPr>
          <w:rFonts w:ascii="Times New Roman" w:hAnsi="Times New Roman" w:cs="Times New Roman"/>
          <w:sz w:val="24"/>
          <w:szCs w:val="24"/>
        </w:rPr>
        <w:lastRenderedPageBreak/>
        <w:t>terms</w:t>
      </w:r>
      <w:r w:rsidR="00FF76D4">
        <w:rPr>
          <w:rFonts w:ascii="Times New Roman" w:hAnsi="Times New Roman" w:cs="Times New Roman"/>
          <w:sz w:val="24"/>
          <w:szCs w:val="24"/>
        </w:rPr>
        <w:t>.</w:t>
      </w:r>
      <w:r w:rsidR="003A3244">
        <w:rPr>
          <w:rStyle w:val="FootnoteReference"/>
          <w:rFonts w:ascii="Times New Roman" w:hAnsi="Times New Roman" w:cs="Times New Roman"/>
          <w:sz w:val="24"/>
          <w:szCs w:val="24"/>
        </w:rPr>
        <w:footnoteReference w:id="246"/>
      </w:r>
      <w:r w:rsidR="00CE462C">
        <w:rPr>
          <w:rFonts w:ascii="Times New Roman" w:hAnsi="Times New Roman" w:cs="Times New Roman"/>
          <w:sz w:val="24"/>
          <w:szCs w:val="24"/>
        </w:rPr>
        <w:t xml:space="preserve"> </w:t>
      </w:r>
      <w:r w:rsidR="00DD1575">
        <w:rPr>
          <w:rFonts w:ascii="Times New Roman" w:hAnsi="Times New Roman" w:cs="Times New Roman"/>
          <w:sz w:val="24"/>
          <w:szCs w:val="24"/>
        </w:rPr>
        <w:t xml:space="preserve">Information about the special committee process, on the other hand, </w:t>
      </w:r>
      <w:r w:rsidR="007B2CDA">
        <w:rPr>
          <w:rFonts w:ascii="Times New Roman" w:hAnsi="Times New Roman" w:cs="Times New Roman"/>
          <w:sz w:val="24"/>
          <w:szCs w:val="24"/>
        </w:rPr>
        <w:t>may be</w:t>
      </w:r>
      <w:r w:rsidR="00DD1575">
        <w:rPr>
          <w:rFonts w:ascii="Times New Roman" w:hAnsi="Times New Roman" w:cs="Times New Roman"/>
          <w:sz w:val="24"/>
          <w:szCs w:val="24"/>
        </w:rPr>
        <w:t xml:space="preserve"> important, </w:t>
      </w:r>
      <w:r w:rsidR="00DD1575" w:rsidRPr="001051D1">
        <w:rPr>
          <w:rFonts w:ascii="Times New Roman" w:hAnsi="Times New Roman" w:cs="Times New Roman"/>
          <w:sz w:val="24"/>
          <w:szCs w:val="24"/>
        </w:rPr>
        <w:t xml:space="preserve">but </w:t>
      </w:r>
      <w:r w:rsidR="007B2CDA" w:rsidRPr="001051D1">
        <w:rPr>
          <w:rFonts w:ascii="Times New Roman" w:hAnsi="Times New Roman" w:cs="Times New Roman"/>
          <w:sz w:val="24"/>
          <w:szCs w:val="24"/>
        </w:rPr>
        <w:t>for a different purpose</w:t>
      </w:r>
      <w:r w:rsidR="00A4440E" w:rsidRPr="001051D1">
        <w:rPr>
          <w:rFonts w:ascii="Times New Roman" w:hAnsi="Times New Roman" w:cs="Times New Roman"/>
          <w:sz w:val="24"/>
          <w:szCs w:val="24"/>
        </w:rPr>
        <w:t>,</w:t>
      </w:r>
      <w:r w:rsidR="00A4440E">
        <w:rPr>
          <w:rFonts w:ascii="Times New Roman" w:hAnsi="Times New Roman" w:cs="Times New Roman"/>
          <w:sz w:val="24"/>
          <w:szCs w:val="24"/>
        </w:rPr>
        <w:t xml:space="preserve"> as explained above. </w:t>
      </w:r>
      <w:r w:rsidR="00DD1575">
        <w:rPr>
          <w:rFonts w:ascii="Times New Roman" w:hAnsi="Times New Roman" w:cs="Times New Roman"/>
          <w:sz w:val="24"/>
          <w:szCs w:val="24"/>
        </w:rPr>
        <w:t xml:space="preserve">Therefore, our proposed regime would encourage </w:t>
      </w:r>
      <w:r w:rsidR="00326DEE">
        <w:rPr>
          <w:rFonts w:ascii="Times New Roman" w:hAnsi="Times New Roman" w:cs="Times New Roman"/>
          <w:sz w:val="24"/>
          <w:szCs w:val="24"/>
        </w:rPr>
        <w:t>such</w:t>
      </w:r>
      <w:r w:rsidR="00DD1575">
        <w:rPr>
          <w:rFonts w:ascii="Times New Roman" w:hAnsi="Times New Roman" w:cs="Times New Roman"/>
          <w:sz w:val="24"/>
          <w:szCs w:val="24"/>
        </w:rPr>
        <w:t xml:space="preserve"> disclosure to be made, with any inaccuracies </w:t>
      </w:r>
      <w:r w:rsidR="0014599E">
        <w:rPr>
          <w:rFonts w:ascii="Times New Roman" w:hAnsi="Times New Roman" w:cs="Times New Roman"/>
          <w:sz w:val="24"/>
          <w:szCs w:val="24"/>
        </w:rPr>
        <w:t xml:space="preserve">or deficiencies rendering the </w:t>
      </w:r>
      <w:r w:rsidR="00E23EF9">
        <w:rPr>
          <w:rFonts w:ascii="Times New Roman" w:hAnsi="Times New Roman" w:cs="Times New Roman"/>
          <w:sz w:val="24"/>
          <w:szCs w:val="24"/>
        </w:rPr>
        <w:t xml:space="preserve">company and the controller open to challenges </w:t>
      </w:r>
      <w:r w:rsidR="0014599E">
        <w:rPr>
          <w:rFonts w:ascii="Times New Roman" w:hAnsi="Times New Roman" w:cs="Times New Roman"/>
          <w:sz w:val="24"/>
          <w:szCs w:val="24"/>
        </w:rPr>
        <w:t>about</w:t>
      </w:r>
      <w:r w:rsidR="00E23EF9">
        <w:rPr>
          <w:rFonts w:ascii="Times New Roman" w:hAnsi="Times New Roman" w:cs="Times New Roman"/>
          <w:sz w:val="24"/>
          <w:szCs w:val="24"/>
        </w:rPr>
        <w:t xml:space="preserve"> the special committee’s </w:t>
      </w:r>
      <w:r w:rsidR="001051D1">
        <w:rPr>
          <w:rFonts w:ascii="Times New Roman" w:hAnsi="Times New Roman" w:cs="Times New Roman"/>
          <w:sz w:val="24"/>
          <w:szCs w:val="24"/>
        </w:rPr>
        <w:t>process</w:t>
      </w:r>
      <w:r w:rsidR="00326DEE">
        <w:rPr>
          <w:rFonts w:ascii="Times New Roman" w:hAnsi="Times New Roman" w:cs="Times New Roman"/>
          <w:sz w:val="24"/>
          <w:szCs w:val="24"/>
        </w:rPr>
        <w:t xml:space="preserve">, but not leading to the full invalidation of the shareholder vote. </w:t>
      </w:r>
    </w:p>
    <w:p w14:paraId="1B2801C9" w14:textId="23E6A837" w:rsidR="00B62149" w:rsidRPr="0042152F" w:rsidRDefault="00326DEE" w:rsidP="002E3243">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sum, our two</w:t>
      </w:r>
      <w:r w:rsidR="000B07A3" w:rsidRPr="0042152F">
        <w:rPr>
          <w:rFonts w:ascii="Times New Roman" w:hAnsi="Times New Roman" w:cs="Times New Roman"/>
          <w:sz w:val="24"/>
          <w:szCs w:val="24"/>
        </w:rPr>
        <w:t xml:space="preserve"> </w:t>
      </w:r>
      <w:r w:rsidR="00B62149" w:rsidRPr="0042152F">
        <w:rPr>
          <w:rFonts w:ascii="Times New Roman" w:hAnsi="Times New Roman" w:cs="Times New Roman"/>
          <w:sz w:val="24"/>
          <w:szCs w:val="24"/>
        </w:rPr>
        <w:t xml:space="preserve">proposals give independent weight to each cleansing mechanism while preserving incentives </w:t>
      </w:r>
      <w:r w:rsidR="008E7ADD" w:rsidRPr="0042152F">
        <w:rPr>
          <w:rFonts w:ascii="Times New Roman" w:hAnsi="Times New Roman" w:cs="Times New Roman"/>
          <w:sz w:val="24"/>
          <w:szCs w:val="24"/>
        </w:rPr>
        <w:t xml:space="preserve">for companies </w:t>
      </w:r>
      <w:r w:rsidR="00B62149" w:rsidRPr="0042152F">
        <w:rPr>
          <w:rFonts w:ascii="Times New Roman" w:hAnsi="Times New Roman" w:cs="Times New Roman"/>
          <w:sz w:val="24"/>
          <w:szCs w:val="24"/>
        </w:rPr>
        <w:t>to disclose information about the special committee process</w:t>
      </w:r>
      <w:r>
        <w:rPr>
          <w:rFonts w:ascii="Times New Roman" w:hAnsi="Times New Roman" w:cs="Times New Roman"/>
          <w:sz w:val="24"/>
          <w:szCs w:val="24"/>
        </w:rPr>
        <w:t>. T</w:t>
      </w:r>
      <w:r w:rsidR="000B07A3" w:rsidRPr="0042152F">
        <w:rPr>
          <w:rFonts w:ascii="Times New Roman" w:hAnsi="Times New Roman" w:cs="Times New Roman"/>
          <w:sz w:val="24"/>
          <w:szCs w:val="24"/>
        </w:rPr>
        <w:t>herefore</w:t>
      </w:r>
      <w:r>
        <w:rPr>
          <w:rFonts w:ascii="Times New Roman" w:hAnsi="Times New Roman" w:cs="Times New Roman"/>
          <w:sz w:val="24"/>
          <w:szCs w:val="24"/>
        </w:rPr>
        <w:t>, our regime would amply</w:t>
      </w:r>
      <w:r w:rsidR="000B07A3" w:rsidRPr="0042152F">
        <w:rPr>
          <w:rFonts w:ascii="Times New Roman" w:hAnsi="Times New Roman" w:cs="Times New Roman"/>
          <w:sz w:val="24"/>
          <w:szCs w:val="24"/>
        </w:rPr>
        <w:t xml:space="preserve"> </w:t>
      </w:r>
      <w:r>
        <w:rPr>
          <w:rFonts w:ascii="Times New Roman" w:hAnsi="Times New Roman" w:cs="Times New Roman"/>
          <w:sz w:val="24"/>
          <w:szCs w:val="24"/>
        </w:rPr>
        <w:t>protect</w:t>
      </w:r>
      <w:r w:rsidR="000B07A3" w:rsidRPr="0042152F">
        <w:rPr>
          <w:rFonts w:ascii="Times New Roman" w:hAnsi="Times New Roman" w:cs="Times New Roman"/>
          <w:sz w:val="24"/>
          <w:szCs w:val="24"/>
        </w:rPr>
        <w:t xml:space="preserve"> minority shareholders without subjecting controller transactions to judicial valuation unless absolutely necessary</w:t>
      </w:r>
      <w:r w:rsidR="00B62149" w:rsidRPr="0042152F">
        <w:rPr>
          <w:rFonts w:ascii="Times New Roman" w:hAnsi="Times New Roman" w:cs="Times New Roman"/>
          <w:sz w:val="24"/>
          <w:szCs w:val="24"/>
        </w:rPr>
        <w:t xml:space="preserve">. </w:t>
      </w:r>
    </w:p>
    <w:p w14:paraId="125FC637" w14:textId="63906C91" w:rsidR="00734855" w:rsidRPr="0042152F" w:rsidRDefault="00395766" w:rsidP="00B26031">
      <w:pPr>
        <w:pStyle w:val="Heading2"/>
        <w:spacing w:before="0" w:line="360" w:lineRule="auto"/>
      </w:pPr>
      <w:bookmarkStart w:id="33" w:name="_Toc181789847"/>
      <w:r w:rsidRPr="0042152F">
        <w:t xml:space="preserve">B. </w:t>
      </w:r>
      <w:r w:rsidR="00667541" w:rsidRPr="0042152F">
        <w:t>Adapting Entire Fairness Review</w:t>
      </w:r>
      <w:bookmarkEnd w:id="33"/>
    </w:p>
    <w:p w14:paraId="287C1B52" w14:textId="377A0B76" w:rsidR="00734855" w:rsidRPr="0042152F" w:rsidRDefault="002400C1" w:rsidP="00B260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Under our proposed framework, e</w:t>
      </w:r>
      <w:r w:rsidRPr="0042152F">
        <w:rPr>
          <w:rFonts w:ascii="Times New Roman" w:hAnsi="Times New Roman" w:cs="Times New Roman"/>
          <w:sz w:val="24"/>
          <w:szCs w:val="24"/>
        </w:rPr>
        <w:t xml:space="preserve">ntire </w:t>
      </w:r>
      <w:r w:rsidR="00BB33C6" w:rsidRPr="0042152F">
        <w:rPr>
          <w:rFonts w:ascii="Times New Roman" w:hAnsi="Times New Roman" w:cs="Times New Roman"/>
          <w:sz w:val="24"/>
          <w:szCs w:val="24"/>
        </w:rPr>
        <w:t>fairness review</w:t>
      </w:r>
      <w:r>
        <w:rPr>
          <w:rFonts w:ascii="Times New Roman" w:hAnsi="Times New Roman" w:cs="Times New Roman"/>
          <w:sz w:val="24"/>
          <w:szCs w:val="24"/>
        </w:rPr>
        <w:t xml:space="preserve"> would</w:t>
      </w:r>
      <w:r w:rsidR="00BB33C6" w:rsidRPr="0042152F">
        <w:rPr>
          <w:rFonts w:ascii="Times New Roman" w:hAnsi="Times New Roman" w:cs="Times New Roman"/>
          <w:sz w:val="24"/>
          <w:szCs w:val="24"/>
        </w:rPr>
        <w:t xml:space="preserve"> remain necessary if </w:t>
      </w:r>
      <w:r w:rsidR="00885EAC" w:rsidRPr="0042152F">
        <w:rPr>
          <w:rFonts w:ascii="Times New Roman" w:hAnsi="Times New Roman" w:cs="Times New Roman"/>
          <w:sz w:val="24"/>
          <w:szCs w:val="24"/>
        </w:rPr>
        <w:t xml:space="preserve">one the </w:t>
      </w:r>
      <w:r w:rsidR="00885EAC" w:rsidRPr="0042152F">
        <w:rPr>
          <w:rFonts w:ascii="Times New Roman" w:hAnsi="Times New Roman" w:cs="Times New Roman"/>
          <w:i/>
          <w:iCs/>
          <w:sz w:val="24"/>
          <w:szCs w:val="24"/>
        </w:rPr>
        <w:t>MFW</w:t>
      </w:r>
      <w:r w:rsidR="00885EAC" w:rsidRPr="0042152F">
        <w:rPr>
          <w:rFonts w:ascii="Times New Roman" w:hAnsi="Times New Roman" w:cs="Times New Roman"/>
          <w:sz w:val="24"/>
          <w:szCs w:val="24"/>
        </w:rPr>
        <w:t xml:space="preserve"> conditions</w:t>
      </w:r>
      <w:r>
        <w:rPr>
          <w:rFonts w:ascii="Times New Roman" w:hAnsi="Times New Roman" w:cs="Times New Roman"/>
          <w:sz w:val="24"/>
          <w:szCs w:val="24"/>
        </w:rPr>
        <w:t xml:space="preserve"> is</w:t>
      </w:r>
      <w:r w:rsidR="00BB33C6" w:rsidRPr="0042152F">
        <w:rPr>
          <w:rFonts w:ascii="Times New Roman" w:hAnsi="Times New Roman" w:cs="Times New Roman"/>
          <w:sz w:val="24"/>
          <w:szCs w:val="24"/>
        </w:rPr>
        <w:t xml:space="preserve"> </w:t>
      </w:r>
      <w:r>
        <w:rPr>
          <w:rFonts w:ascii="Times New Roman" w:hAnsi="Times New Roman" w:cs="Times New Roman"/>
          <w:sz w:val="24"/>
          <w:szCs w:val="24"/>
        </w:rPr>
        <w:t>not met</w:t>
      </w:r>
      <w:r w:rsidR="00BB33C6" w:rsidRPr="0042152F">
        <w:rPr>
          <w:rFonts w:ascii="Times New Roman" w:hAnsi="Times New Roman" w:cs="Times New Roman"/>
          <w:sz w:val="24"/>
          <w:szCs w:val="24"/>
        </w:rPr>
        <w:t xml:space="preserve">. Without the threat of entire fairness review, controllers would have little incentive to </w:t>
      </w:r>
      <w:r w:rsidR="00EE4B31" w:rsidRPr="0042152F">
        <w:rPr>
          <w:rFonts w:ascii="Times New Roman" w:hAnsi="Times New Roman" w:cs="Times New Roman"/>
          <w:sz w:val="24"/>
          <w:szCs w:val="24"/>
        </w:rPr>
        <w:t>subject sel</w:t>
      </w:r>
      <w:r w:rsidR="00C5550E" w:rsidRPr="0042152F">
        <w:rPr>
          <w:rFonts w:ascii="Times New Roman" w:hAnsi="Times New Roman" w:cs="Times New Roman"/>
          <w:sz w:val="24"/>
          <w:szCs w:val="24"/>
        </w:rPr>
        <w:t xml:space="preserve">f-dealing transactions to the </w:t>
      </w:r>
      <w:r w:rsidR="00BB33C6" w:rsidRPr="0042152F">
        <w:rPr>
          <w:rFonts w:ascii="Times New Roman" w:hAnsi="Times New Roman" w:cs="Times New Roman"/>
          <w:sz w:val="24"/>
          <w:szCs w:val="24"/>
        </w:rPr>
        <w:t xml:space="preserve">procedures that benefit </w:t>
      </w:r>
      <w:r w:rsidR="006E39E9" w:rsidRPr="0042152F">
        <w:rPr>
          <w:rFonts w:ascii="Times New Roman" w:hAnsi="Times New Roman" w:cs="Times New Roman"/>
          <w:sz w:val="24"/>
          <w:szCs w:val="24"/>
        </w:rPr>
        <w:t xml:space="preserve">the company and its </w:t>
      </w:r>
      <w:r w:rsidR="00BB33C6" w:rsidRPr="0042152F">
        <w:rPr>
          <w:rFonts w:ascii="Times New Roman" w:hAnsi="Times New Roman" w:cs="Times New Roman"/>
          <w:sz w:val="24"/>
          <w:szCs w:val="24"/>
        </w:rPr>
        <w:t>minority shareholders. This presents a quandary</w:t>
      </w:r>
      <w:r w:rsidR="007920A2">
        <w:rPr>
          <w:rFonts w:ascii="Times New Roman" w:hAnsi="Times New Roman" w:cs="Times New Roman"/>
          <w:sz w:val="24"/>
          <w:szCs w:val="24"/>
        </w:rPr>
        <w:t xml:space="preserve"> when defendants try to defend </w:t>
      </w:r>
      <w:r>
        <w:rPr>
          <w:rFonts w:ascii="Times New Roman" w:hAnsi="Times New Roman" w:cs="Times New Roman"/>
          <w:sz w:val="24"/>
          <w:szCs w:val="24"/>
        </w:rPr>
        <w:t xml:space="preserve">a </w:t>
      </w:r>
      <w:r w:rsidR="007920A2">
        <w:rPr>
          <w:rFonts w:ascii="Times New Roman" w:hAnsi="Times New Roman" w:cs="Times New Roman"/>
          <w:sz w:val="24"/>
          <w:szCs w:val="24"/>
        </w:rPr>
        <w:t xml:space="preserve">transaction’s fairness by reference to the controller’s </w:t>
      </w:r>
      <w:r w:rsidR="005F5AC0">
        <w:rPr>
          <w:rFonts w:ascii="Times New Roman" w:hAnsi="Times New Roman" w:cs="Times New Roman"/>
          <w:sz w:val="24"/>
          <w:szCs w:val="24"/>
        </w:rPr>
        <w:t>vision and unique contribution</w:t>
      </w:r>
      <w:r>
        <w:rPr>
          <w:rFonts w:ascii="Times New Roman" w:hAnsi="Times New Roman" w:cs="Times New Roman"/>
          <w:sz w:val="24"/>
          <w:szCs w:val="24"/>
        </w:rPr>
        <w:t>s</w:t>
      </w:r>
      <w:r w:rsidR="00BB33C6" w:rsidRPr="0042152F">
        <w:rPr>
          <w:rFonts w:ascii="Times New Roman" w:hAnsi="Times New Roman" w:cs="Times New Roman"/>
          <w:sz w:val="24"/>
          <w:szCs w:val="24"/>
        </w:rPr>
        <w:t>—</w:t>
      </w:r>
      <w:r w:rsidR="00734855" w:rsidRPr="0042152F">
        <w:rPr>
          <w:rFonts w:ascii="Times New Roman" w:hAnsi="Times New Roman" w:cs="Times New Roman"/>
          <w:sz w:val="24"/>
          <w:szCs w:val="24"/>
        </w:rPr>
        <w:t>how can courts implement entire fairness review when they are poorly positioned to engage in valuation</w:t>
      </w:r>
      <w:r>
        <w:rPr>
          <w:rFonts w:ascii="Times New Roman" w:hAnsi="Times New Roman" w:cs="Times New Roman"/>
          <w:sz w:val="24"/>
          <w:szCs w:val="24"/>
        </w:rPr>
        <w:t xml:space="preserve"> of idiosyncratic vision</w:t>
      </w:r>
      <w:r w:rsidR="006C0E99" w:rsidRPr="0042152F">
        <w:rPr>
          <w:rFonts w:ascii="Times New Roman" w:hAnsi="Times New Roman" w:cs="Times New Roman"/>
          <w:sz w:val="24"/>
          <w:szCs w:val="24"/>
        </w:rPr>
        <w:t xml:space="preserve"> (and to review the valuation efforts of others)</w:t>
      </w:r>
      <w:r w:rsidR="00734855" w:rsidRPr="0042152F">
        <w:rPr>
          <w:rFonts w:ascii="Times New Roman" w:hAnsi="Times New Roman" w:cs="Times New Roman"/>
          <w:sz w:val="24"/>
          <w:szCs w:val="24"/>
        </w:rPr>
        <w:t xml:space="preserve">? </w:t>
      </w:r>
    </w:p>
    <w:p w14:paraId="28110C98" w14:textId="16C1978D" w:rsidR="000F6344" w:rsidRDefault="0004782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T</w:t>
      </w:r>
      <w:r w:rsidR="00734855" w:rsidRPr="0042152F">
        <w:rPr>
          <w:rFonts w:ascii="Times New Roman" w:hAnsi="Times New Roman" w:cs="Times New Roman"/>
          <w:sz w:val="24"/>
          <w:szCs w:val="24"/>
        </w:rPr>
        <w:t xml:space="preserve">he entire fairness standard and its emphasis on </w:t>
      </w:r>
      <w:r w:rsidRPr="0042152F">
        <w:rPr>
          <w:rFonts w:ascii="Times New Roman" w:hAnsi="Times New Roman" w:cs="Times New Roman"/>
          <w:sz w:val="24"/>
          <w:szCs w:val="24"/>
        </w:rPr>
        <w:t xml:space="preserve">fair </w:t>
      </w:r>
      <w:r w:rsidR="00734855" w:rsidRPr="0042152F">
        <w:rPr>
          <w:rFonts w:ascii="Times New Roman" w:hAnsi="Times New Roman" w:cs="Times New Roman"/>
          <w:sz w:val="24"/>
          <w:szCs w:val="24"/>
        </w:rPr>
        <w:t xml:space="preserve">price and </w:t>
      </w:r>
      <w:r w:rsidRPr="0042152F">
        <w:rPr>
          <w:rFonts w:ascii="Times New Roman" w:hAnsi="Times New Roman" w:cs="Times New Roman"/>
          <w:sz w:val="24"/>
          <w:szCs w:val="24"/>
        </w:rPr>
        <w:t xml:space="preserve">fair </w:t>
      </w:r>
      <w:r w:rsidR="00734855" w:rsidRPr="0042152F">
        <w:rPr>
          <w:rFonts w:ascii="Times New Roman" w:hAnsi="Times New Roman" w:cs="Times New Roman"/>
          <w:sz w:val="24"/>
          <w:szCs w:val="24"/>
        </w:rPr>
        <w:t>process offers little guidance</w:t>
      </w:r>
      <w:r w:rsidR="00FD47CF" w:rsidRPr="0042152F">
        <w:rPr>
          <w:rFonts w:ascii="Times New Roman" w:hAnsi="Times New Roman" w:cs="Times New Roman"/>
          <w:sz w:val="24"/>
          <w:szCs w:val="24"/>
        </w:rPr>
        <w:t>, as Part III described</w:t>
      </w:r>
      <w:r w:rsidR="006C0E99" w:rsidRPr="0042152F">
        <w:rPr>
          <w:rFonts w:ascii="Times New Roman" w:hAnsi="Times New Roman" w:cs="Times New Roman"/>
          <w:sz w:val="24"/>
          <w:szCs w:val="24"/>
        </w:rPr>
        <w:t xml:space="preserve">. </w:t>
      </w:r>
      <w:r w:rsidR="00094554" w:rsidRPr="0042152F">
        <w:rPr>
          <w:rFonts w:ascii="Times New Roman" w:hAnsi="Times New Roman" w:cs="Times New Roman"/>
          <w:sz w:val="24"/>
          <w:szCs w:val="24"/>
        </w:rPr>
        <w:t>Thus</w:t>
      </w:r>
      <w:r w:rsidR="00734855" w:rsidRPr="0042152F">
        <w:rPr>
          <w:rFonts w:ascii="Times New Roman" w:hAnsi="Times New Roman" w:cs="Times New Roman"/>
          <w:sz w:val="24"/>
          <w:szCs w:val="24"/>
        </w:rPr>
        <w:t xml:space="preserve">, we </w:t>
      </w:r>
      <w:r w:rsidR="000F6344">
        <w:rPr>
          <w:rFonts w:ascii="Times New Roman" w:hAnsi="Times New Roman" w:cs="Times New Roman"/>
          <w:sz w:val="24"/>
          <w:szCs w:val="24"/>
        </w:rPr>
        <w:t>offer guidance for</w:t>
      </w:r>
      <w:r w:rsidR="00FD47CF" w:rsidRPr="0042152F">
        <w:rPr>
          <w:rFonts w:ascii="Times New Roman" w:hAnsi="Times New Roman" w:cs="Times New Roman"/>
          <w:sz w:val="24"/>
          <w:szCs w:val="24"/>
        </w:rPr>
        <w:t xml:space="preserve"> courts that are required to</w:t>
      </w:r>
      <w:r w:rsidR="006A5300" w:rsidRPr="0042152F">
        <w:rPr>
          <w:rFonts w:ascii="Times New Roman" w:hAnsi="Times New Roman" w:cs="Times New Roman"/>
          <w:sz w:val="24"/>
          <w:szCs w:val="24"/>
        </w:rPr>
        <w:t xml:space="preserve"> </w:t>
      </w:r>
      <w:r w:rsidR="00FD47CF" w:rsidRPr="0042152F">
        <w:rPr>
          <w:rFonts w:ascii="Times New Roman" w:hAnsi="Times New Roman" w:cs="Times New Roman"/>
          <w:sz w:val="24"/>
          <w:szCs w:val="24"/>
        </w:rPr>
        <w:t>review controller transactions</w:t>
      </w:r>
      <w:r w:rsidR="00C74D01">
        <w:rPr>
          <w:rFonts w:ascii="Times New Roman" w:hAnsi="Times New Roman" w:cs="Times New Roman"/>
          <w:sz w:val="24"/>
          <w:szCs w:val="24"/>
        </w:rPr>
        <w:t xml:space="preserve"> </w:t>
      </w:r>
      <w:r w:rsidR="00B26AE6">
        <w:rPr>
          <w:rFonts w:ascii="Times New Roman" w:hAnsi="Times New Roman" w:cs="Times New Roman"/>
          <w:sz w:val="24"/>
          <w:szCs w:val="24"/>
        </w:rPr>
        <w:t xml:space="preserve">that raise the </w:t>
      </w:r>
      <w:r w:rsidR="00146BEE">
        <w:rPr>
          <w:rFonts w:ascii="Times New Roman" w:hAnsi="Times New Roman" w:cs="Times New Roman"/>
          <w:sz w:val="24"/>
          <w:szCs w:val="24"/>
        </w:rPr>
        <w:t xml:space="preserve">valuation challenges presented </w:t>
      </w:r>
      <w:r w:rsidR="00B26AE6">
        <w:rPr>
          <w:rFonts w:ascii="Times New Roman" w:hAnsi="Times New Roman" w:cs="Times New Roman"/>
          <w:sz w:val="24"/>
          <w:szCs w:val="24"/>
        </w:rPr>
        <w:t>above</w:t>
      </w:r>
      <w:r w:rsidR="00734855" w:rsidRPr="0042152F">
        <w:rPr>
          <w:rFonts w:ascii="Times New Roman" w:hAnsi="Times New Roman" w:cs="Times New Roman"/>
          <w:sz w:val="24"/>
          <w:szCs w:val="24"/>
        </w:rPr>
        <w:t xml:space="preserve">. </w:t>
      </w:r>
      <w:r w:rsidR="006A5300" w:rsidRPr="0042152F">
        <w:rPr>
          <w:rFonts w:ascii="Times New Roman" w:hAnsi="Times New Roman" w:cs="Times New Roman"/>
          <w:sz w:val="24"/>
          <w:szCs w:val="24"/>
        </w:rPr>
        <w:t>Our guidance</w:t>
      </w:r>
      <w:r w:rsidR="00594310" w:rsidRPr="0042152F">
        <w:rPr>
          <w:rFonts w:ascii="Times New Roman" w:hAnsi="Times New Roman" w:cs="Times New Roman"/>
          <w:sz w:val="24"/>
          <w:szCs w:val="24"/>
        </w:rPr>
        <w:t xml:space="preserve"> </w:t>
      </w:r>
      <w:r w:rsidR="006A5300" w:rsidRPr="0042152F">
        <w:rPr>
          <w:rFonts w:ascii="Times New Roman" w:hAnsi="Times New Roman" w:cs="Times New Roman"/>
          <w:sz w:val="24"/>
          <w:szCs w:val="24"/>
        </w:rPr>
        <w:t xml:space="preserve">is </w:t>
      </w:r>
      <w:r w:rsidR="006C0E99" w:rsidRPr="0042152F">
        <w:rPr>
          <w:rFonts w:ascii="Times New Roman" w:hAnsi="Times New Roman" w:cs="Times New Roman"/>
          <w:sz w:val="24"/>
          <w:szCs w:val="24"/>
        </w:rPr>
        <w:t>grounded in the</w:t>
      </w:r>
      <w:r w:rsidR="00594310" w:rsidRPr="0042152F">
        <w:rPr>
          <w:rFonts w:ascii="Times New Roman" w:hAnsi="Times New Roman" w:cs="Times New Roman"/>
          <w:sz w:val="24"/>
          <w:szCs w:val="24"/>
        </w:rPr>
        <w:t xml:space="preserve"> </w:t>
      </w:r>
      <w:r w:rsidR="00594310" w:rsidRPr="0042152F">
        <w:rPr>
          <w:rFonts w:ascii="Times New Roman" w:hAnsi="Times New Roman" w:cs="Times New Roman"/>
          <w:i/>
          <w:iCs/>
          <w:sz w:val="24"/>
          <w:szCs w:val="24"/>
        </w:rPr>
        <w:t xml:space="preserve">MFW </w:t>
      </w:r>
      <w:r w:rsidR="00594310" w:rsidRPr="0042152F">
        <w:rPr>
          <w:rFonts w:ascii="Times New Roman" w:hAnsi="Times New Roman" w:cs="Times New Roman"/>
          <w:sz w:val="24"/>
          <w:szCs w:val="24"/>
        </w:rPr>
        <w:t>framework</w:t>
      </w:r>
      <w:r w:rsidR="001D48AD" w:rsidRPr="0042152F">
        <w:rPr>
          <w:rFonts w:ascii="Times New Roman" w:hAnsi="Times New Roman" w:cs="Times New Roman"/>
          <w:sz w:val="24"/>
          <w:szCs w:val="24"/>
        </w:rPr>
        <w:t xml:space="preserve"> and our analysis of the proper role of shareholders, independent directors</w:t>
      </w:r>
      <w:r w:rsidR="00FD47CF" w:rsidRPr="0042152F">
        <w:rPr>
          <w:rFonts w:ascii="Times New Roman" w:hAnsi="Times New Roman" w:cs="Times New Roman"/>
          <w:sz w:val="24"/>
          <w:szCs w:val="24"/>
        </w:rPr>
        <w:t>,</w:t>
      </w:r>
      <w:r w:rsidR="001D48AD" w:rsidRPr="0042152F">
        <w:rPr>
          <w:rFonts w:ascii="Times New Roman" w:hAnsi="Times New Roman" w:cs="Times New Roman"/>
          <w:sz w:val="24"/>
          <w:szCs w:val="24"/>
        </w:rPr>
        <w:t xml:space="preserve"> and courts in </w:t>
      </w:r>
      <w:r w:rsidR="006431ED" w:rsidRPr="0042152F">
        <w:rPr>
          <w:rFonts w:ascii="Times New Roman" w:hAnsi="Times New Roman" w:cs="Times New Roman"/>
          <w:sz w:val="24"/>
          <w:szCs w:val="24"/>
        </w:rPr>
        <w:t>evaluating the controller’s vision</w:t>
      </w:r>
      <w:r w:rsidR="00594310" w:rsidRPr="0042152F">
        <w:rPr>
          <w:rFonts w:ascii="Times New Roman" w:hAnsi="Times New Roman" w:cs="Times New Roman"/>
          <w:sz w:val="24"/>
          <w:szCs w:val="24"/>
        </w:rPr>
        <w:t xml:space="preserve">. </w:t>
      </w:r>
    </w:p>
    <w:p w14:paraId="13F2F9C4" w14:textId="00977CCB" w:rsidR="006C0E99" w:rsidRPr="0042152F" w:rsidRDefault="00377E2A"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The existing </w:t>
      </w:r>
      <w:r w:rsidRPr="0042152F">
        <w:rPr>
          <w:rFonts w:ascii="Times New Roman" w:hAnsi="Times New Roman" w:cs="Times New Roman"/>
          <w:i/>
          <w:iCs/>
          <w:sz w:val="24"/>
          <w:szCs w:val="24"/>
        </w:rPr>
        <w:t>MFW</w:t>
      </w:r>
      <w:r w:rsidRPr="0042152F">
        <w:rPr>
          <w:rFonts w:ascii="Times New Roman" w:hAnsi="Times New Roman" w:cs="Times New Roman"/>
          <w:sz w:val="24"/>
          <w:szCs w:val="24"/>
        </w:rPr>
        <w:t xml:space="preserve"> regime views the two cleansing </w:t>
      </w:r>
      <w:r w:rsidR="00037A85" w:rsidRPr="0042152F">
        <w:rPr>
          <w:rFonts w:ascii="Times New Roman" w:hAnsi="Times New Roman" w:cs="Times New Roman"/>
          <w:sz w:val="24"/>
          <w:szCs w:val="24"/>
        </w:rPr>
        <w:t>mechanisms—special committee</w:t>
      </w:r>
      <w:r w:rsidR="000F6344">
        <w:rPr>
          <w:rFonts w:ascii="Times New Roman" w:hAnsi="Times New Roman" w:cs="Times New Roman"/>
          <w:sz w:val="24"/>
          <w:szCs w:val="24"/>
        </w:rPr>
        <w:t xml:space="preserve"> negotiation</w:t>
      </w:r>
      <w:r w:rsidR="00037A85" w:rsidRPr="0042152F">
        <w:rPr>
          <w:rFonts w:ascii="Times New Roman" w:hAnsi="Times New Roman" w:cs="Times New Roman"/>
          <w:sz w:val="24"/>
          <w:szCs w:val="24"/>
        </w:rPr>
        <w:t xml:space="preserve"> and </w:t>
      </w:r>
      <w:r w:rsidR="000F6344">
        <w:rPr>
          <w:rFonts w:ascii="Times New Roman" w:hAnsi="Times New Roman" w:cs="Times New Roman"/>
          <w:sz w:val="24"/>
          <w:szCs w:val="24"/>
        </w:rPr>
        <w:t xml:space="preserve">the </w:t>
      </w:r>
      <w:r w:rsidR="00037A85" w:rsidRPr="0042152F">
        <w:rPr>
          <w:rFonts w:ascii="Times New Roman" w:hAnsi="Times New Roman" w:cs="Times New Roman"/>
          <w:sz w:val="24"/>
          <w:szCs w:val="24"/>
        </w:rPr>
        <w:t xml:space="preserve">majority </w:t>
      </w:r>
      <w:r w:rsidR="000F6344">
        <w:rPr>
          <w:rFonts w:ascii="Times New Roman" w:hAnsi="Times New Roman" w:cs="Times New Roman"/>
          <w:sz w:val="24"/>
          <w:szCs w:val="24"/>
        </w:rPr>
        <w:t xml:space="preserve">of the </w:t>
      </w:r>
      <w:r w:rsidR="00037A85" w:rsidRPr="0042152F">
        <w:rPr>
          <w:rFonts w:ascii="Times New Roman" w:hAnsi="Times New Roman" w:cs="Times New Roman"/>
          <w:sz w:val="24"/>
          <w:szCs w:val="24"/>
        </w:rPr>
        <w:t xml:space="preserve">minority shareholder vote—as functionally equivalent. </w:t>
      </w:r>
      <w:r w:rsidR="00575878">
        <w:rPr>
          <w:rFonts w:ascii="Times New Roman" w:hAnsi="Times New Roman" w:cs="Times New Roman"/>
          <w:sz w:val="24"/>
          <w:szCs w:val="24"/>
        </w:rPr>
        <w:t>E</w:t>
      </w:r>
      <w:r w:rsidR="00F424A9" w:rsidRPr="0042152F">
        <w:rPr>
          <w:rFonts w:ascii="Times New Roman" w:hAnsi="Times New Roman" w:cs="Times New Roman"/>
          <w:sz w:val="24"/>
          <w:szCs w:val="24"/>
        </w:rPr>
        <w:t xml:space="preserve">ach mechanism </w:t>
      </w:r>
      <w:r w:rsidR="00575878">
        <w:rPr>
          <w:rFonts w:ascii="Times New Roman" w:hAnsi="Times New Roman" w:cs="Times New Roman"/>
          <w:sz w:val="24"/>
          <w:szCs w:val="24"/>
        </w:rPr>
        <w:t xml:space="preserve">by itself </w:t>
      </w:r>
      <w:r w:rsidR="00F424A9" w:rsidRPr="0042152F">
        <w:rPr>
          <w:rFonts w:ascii="Times New Roman" w:hAnsi="Times New Roman" w:cs="Times New Roman"/>
          <w:sz w:val="24"/>
          <w:szCs w:val="24"/>
        </w:rPr>
        <w:t xml:space="preserve">can shift the burden of persuasion to the plaintiff. </w:t>
      </w:r>
      <w:r w:rsidR="007568E2" w:rsidRPr="0042152F">
        <w:rPr>
          <w:rFonts w:ascii="Times New Roman" w:hAnsi="Times New Roman" w:cs="Times New Roman"/>
          <w:sz w:val="24"/>
          <w:szCs w:val="24"/>
        </w:rPr>
        <w:t xml:space="preserve">Our proposal, in contrast, </w:t>
      </w:r>
      <w:r w:rsidR="000F6344">
        <w:rPr>
          <w:rFonts w:ascii="Times New Roman" w:hAnsi="Times New Roman" w:cs="Times New Roman"/>
          <w:sz w:val="24"/>
          <w:szCs w:val="24"/>
        </w:rPr>
        <w:t>argues that</w:t>
      </w:r>
      <w:r w:rsidR="007568E2" w:rsidRPr="0042152F">
        <w:rPr>
          <w:rFonts w:ascii="Times New Roman" w:hAnsi="Times New Roman" w:cs="Times New Roman"/>
          <w:sz w:val="24"/>
          <w:szCs w:val="24"/>
        </w:rPr>
        <w:t xml:space="preserve"> courts </w:t>
      </w:r>
      <w:r w:rsidR="00527869">
        <w:rPr>
          <w:rFonts w:ascii="Times New Roman" w:hAnsi="Times New Roman" w:cs="Times New Roman"/>
          <w:sz w:val="24"/>
          <w:szCs w:val="24"/>
        </w:rPr>
        <w:t>s</w:t>
      </w:r>
      <w:r w:rsidR="008B35BB">
        <w:rPr>
          <w:rFonts w:ascii="Times New Roman" w:hAnsi="Times New Roman" w:cs="Times New Roman"/>
          <w:sz w:val="24"/>
          <w:szCs w:val="24"/>
        </w:rPr>
        <w:t>h</w:t>
      </w:r>
      <w:r w:rsidR="007568E2" w:rsidRPr="0042152F">
        <w:rPr>
          <w:rFonts w:ascii="Times New Roman" w:hAnsi="Times New Roman" w:cs="Times New Roman"/>
          <w:sz w:val="24"/>
          <w:szCs w:val="24"/>
        </w:rPr>
        <w:t>ould treat</w:t>
      </w:r>
      <w:r w:rsidR="00527869">
        <w:rPr>
          <w:rFonts w:ascii="Times New Roman" w:hAnsi="Times New Roman" w:cs="Times New Roman"/>
          <w:sz w:val="24"/>
          <w:szCs w:val="24"/>
        </w:rPr>
        <w:t xml:space="preserve"> </w:t>
      </w:r>
      <w:r w:rsidR="007568E2" w:rsidRPr="0042152F">
        <w:rPr>
          <w:rFonts w:ascii="Times New Roman" w:hAnsi="Times New Roman" w:cs="Times New Roman"/>
          <w:sz w:val="24"/>
          <w:szCs w:val="24"/>
        </w:rPr>
        <w:t>each cleansing device</w:t>
      </w:r>
      <w:r w:rsidR="00527869">
        <w:rPr>
          <w:rFonts w:ascii="Times New Roman" w:hAnsi="Times New Roman" w:cs="Times New Roman"/>
          <w:sz w:val="24"/>
          <w:szCs w:val="24"/>
        </w:rPr>
        <w:t xml:space="preserve"> differently</w:t>
      </w:r>
      <w:r w:rsidR="007568E2" w:rsidRPr="0042152F">
        <w:rPr>
          <w:rFonts w:ascii="Times New Roman" w:hAnsi="Times New Roman" w:cs="Times New Roman"/>
          <w:sz w:val="24"/>
          <w:szCs w:val="24"/>
        </w:rPr>
        <w:t xml:space="preserve"> based on its </w:t>
      </w:r>
      <w:r w:rsidR="00DC3A8B" w:rsidRPr="0042152F">
        <w:rPr>
          <w:rFonts w:ascii="Times New Roman" w:hAnsi="Times New Roman" w:cs="Times New Roman"/>
          <w:sz w:val="24"/>
          <w:szCs w:val="24"/>
        </w:rPr>
        <w:t>effectiveness in valuing controllers’ vision.</w:t>
      </w:r>
      <w:r w:rsidR="003A3F5D" w:rsidRPr="0042152F">
        <w:rPr>
          <w:rFonts w:ascii="Times New Roman" w:hAnsi="Times New Roman" w:cs="Times New Roman"/>
          <w:sz w:val="24"/>
          <w:szCs w:val="24"/>
        </w:rPr>
        <w:t xml:space="preserve"> </w:t>
      </w:r>
    </w:p>
    <w:p w14:paraId="3E09D94D" w14:textId="5F10DA48" w:rsidR="00A81504" w:rsidRDefault="00094554"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W</w:t>
      </w:r>
      <w:r w:rsidR="00594310" w:rsidRPr="0042152F">
        <w:rPr>
          <w:rFonts w:ascii="Times New Roman" w:hAnsi="Times New Roman" w:cs="Times New Roman"/>
          <w:sz w:val="24"/>
          <w:szCs w:val="24"/>
        </w:rPr>
        <w:t xml:space="preserve">e start with a transaction that has not been cleansed under </w:t>
      </w:r>
      <w:r w:rsidR="00594310" w:rsidRPr="0042152F">
        <w:rPr>
          <w:rFonts w:ascii="Times New Roman" w:hAnsi="Times New Roman" w:cs="Times New Roman"/>
          <w:i/>
          <w:iCs/>
          <w:sz w:val="24"/>
          <w:szCs w:val="24"/>
        </w:rPr>
        <w:t>MFW</w:t>
      </w:r>
      <w:r w:rsidR="00594310" w:rsidRPr="0042152F">
        <w:rPr>
          <w:rFonts w:ascii="Times New Roman" w:hAnsi="Times New Roman" w:cs="Times New Roman"/>
          <w:sz w:val="24"/>
          <w:szCs w:val="24"/>
        </w:rPr>
        <w:t>—</w:t>
      </w:r>
      <w:r w:rsidR="00594310" w:rsidRPr="00952A82">
        <w:rPr>
          <w:rFonts w:ascii="Times New Roman" w:hAnsi="Times New Roman" w:cs="Times New Roman"/>
          <w:sz w:val="24"/>
          <w:szCs w:val="24"/>
        </w:rPr>
        <w:t>i.e.</w:t>
      </w:r>
      <w:r w:rsidR="00594310" w:rsidRPr="0042152F">
        <w:rPr>
          <w:rFonts w:ascii="Times New Roman" w:hAnsi="Times New Roman" w:cs="Times New Roman"/>
          <w:sz w:val="24"/>
          <w:szCs w:val="24"/>
        </w:rPr>
        <w:t xml:space="preserve">, </w:t>
      </w:r>
      <w:r w:rsidR="00F147EE" w:rsidRPr="0042152F">
        <w:rPr>
          <w:rFonts w:ascii="Times New Roman" w:hAnsi="Times New Roman" w:cs="Times New Roman"/>
          <w:sz w:val="24"/>
          <w:szCs w:val="24"/>
        </w:rPr>
        <w:t xml:space="preserve">a </w:t>
      </w:r>
      <w:r w:rsidR="00594310" w:rsidRPr="0042152F">
        <w:rPr>
          <w:rFonts w:ascii="Times New Roman" w:hAnsi="Times New Roman" w:cs="Times New Roman"/>
          <w:sz w:val="24"/>
          <w:szCs w:val="24"/>
        </w:rPr>
        <w:t>transaction</w:t>
      </w:r>
      <w:r w:rsidR="00F147EE" w:rsidRPr="0042152F">
        <w:rPr>
          <w:rFonts w:ascii="Times New Roman" w:hAnsi="Times New Roman" w:cs="Times New Roman"/>
          <w:sz w:val="24"/>
          <w:szCs w:val="24"/>
        </w:rPr>
        <w:t xml:space="preserve"> that</w:t>
      </w:r>
      <w:r w:rsidR="00594310" w:rsidRPr="0042152F">
        <w:rPr>
          <w:rFonts w:ascii="Times New Roman" w:hAnsi="Times New Roman" w:cs="Times New Roman"/>
          <w:sz w:val="24"/>
          <w:szCs w:val="24"/>
        </w:rPr>
        <w:t xml:space="preserve"> has not been embraced by an informed vote of disinterested shareholders or negotiated by a</w:t>
      </w:r>
      <w:r w:rsidRPr="0042152F">
        <w:rPr>
          <w:rFonts w:ascii="Times New Roman" w:hAnsi="Times New Roman" w:cs="Times New Roman"/>
          <w:sz w:val="24"/>
          <w:szCs w:val="24"/>
        </w:rPr>
        <w:t xml:space="preserve"> special </w:t>
      </w:r>
      <w:r w:rsidR="00594310" w:rsidRPr="0042152F">
        <w:rPr>
          <w:rFonts w:ascii="Times New Roman" w:hAnsi="Times New Roman" w:cs="Times New Roman"/>
          <w:sz w:val="24"/>
          <w:szCs w:val="24"/>
        </w:rPr>
        <w:t xml:space="preserve">committee. </w:t>
      </w:r>
      <w:r w:rsidR="00497B09">
        <w:rPr>
          <w:rFonts w:ascii="Times New Roman" w:hAnsi="Times New Roman" w:cs="Times New Roman"/>
          <w:sz w:val="24"/>
          <w:szCs w:val="24"/>
        </w:rPr>
        <w:t xml:space="preserve">Assume that, </w:t>
      </w:r>
      <w:r w:rsidR="00393806">
        <w:rPr>
          <w:rFonts w:ascii="Times New Roman" w:hAnsi="Times New Roman" w:cs="Times New Roman"/>
          <w:sz w:val="24"/>
          <w:szCs w:val="24"/>
        </w:rPr>
        <w:t xml:space="preserve">as </w:t>
      </w:r>
      <w:r w:rsidR="00497B09">
        <w:rPr>
          <w:rFonts w:ascii="Times New Roman" w:hAnsi="Times New Roman" w:cs="Times New Roman"/>
          <w:sz w:val="24"/>
          <w:szCs w:val="24"/>
        </w:rPr>
        <w:t xml:space="preserve">in </w:t>
      </w:r>
      <w:r w:rsidR="00205362">
        <w:rPr>
          <w:rFonts w:ascii="Times New Roman" w:hAnsi="Times New Roman" w:cs="Times New Roman"/>
          <w:i/>
          <w:iCs/>
          <w:sz w:val="24"/>
          <w:szCs w:val="24"/>
        </w:rPr>
        <w:t>Tornetta</w:t>
      </w:r>
      <w:r w:rsidR="00205362">
        <w:rPr>
          <w:rFonts w:ascii="Times New Roman" w:hAnsi="Times New Roman" w:cs="Times New Roman"/>
          <w:sz w:val="24"/>
          <w:szCs w:val="24"/>
        </w:rPr>
        <w:t>, the defendants argue that the transaction i</w:t>
      </w:r>
      <w:r w:rsidR="002816E3">
        <w:rPr>
          <w:rFonts w:ascii="Times New Roman" w:hAnsi="Times New Roman" w:cs="Times New Roman"/>
          <w:sz w:val="24"/>
          <w:szCs w:val="24"/>
        </w:rPr>
        <w:t xml:space="preserve">s fair based on the controller’s vision and its </w:t>
      </w:r>
      <w:r w:rsidR="0063622C">
        <w:rPr>
          <w:rFonts w:ascii="Times New Roman" w:hAnsi="Times New Roman" w:cs="Times New Roman"/>
          <w:sz w:val="24"/>
          <w:szCs w:val="24"/>
        </w:rPr>
        <w:t>expected</w:t>
      </w:r>
      <w:r w:rsidR="002816E3">
        <w:rPr>
          <w:rFonts w:ascii="Times New Roman" w:hAnsi="Times New Roman" w:cs="Times New Roman"/>
          <w:sz w:val="24"/>
          <w:szCs w:val="24"/>
        </w:rPr>
        <w:t xml:space="preserve"> contribution to </w:t>
      </w:r>
      <w:r w:rsidR="0063622C">
        <w:rPr>
          <w:rFonts w:ascii="Times New Roman" w:hAnsi="Times New Roman" w:cs="Times New Roman"/>
          <w:sz w:val="24"/>
          <w:szCs w:val="24"/>
        </w:rPr>
        <w:t xml:space="preserve">the company’s value. In other words, the defendants argue that the </w:t>
      </w:r>
      <w:r w:rsidR="00B1280D">
        <w:rPr>
          <w:rFonts w:ascii="Times New Roman" w:hAnsi="Times New Roman" w:cs="Times New Roman"/>
          <w:sz w:val="24"/>
          <w:szCs w:val="24"/>
        </w:rPr>
        <w:t>fairness</w:t>
      </w:r>
      <w:r w:rsidR="0063622C">
        <w:rPr>
          <w:rFonts w:ascii="Times New Roman" w:hAnsi="Times New Roman" w:cs="Times New Roman"/>
          <w:sz w:val="24"/>
          <w:szCs w:val="24"/>
        </w:rPr>
        <w:t xml:space="preserve"> of </w:t>
      </w:r>
      <w:r w:rsidR="00B1280D">
        <w:rPr>
          <w:rFonts w:ascii="Times New Roman" w:hAnsi="Times New Roman" w:cs="Times New Roman"/>
          <w:sz w:val="24"/>
          <w:szCs w:val="24"/>
        </w:rPr>
        <w:t>transaction should not be determined based on conventional valuation models</w:t>
      </w:r>
      <w:r w:rsidR="00DD7A20">
        <w:rPr>
          <w:rFonts w:ascii="Times New Roman" w:hAnsi="Times New Roman" w:cs="Times New Roman"/>
          <w:sz w:val="24"/>
          <w:szCs w:val="24"/>
        </w:rPr>
        <w:t>.</w:t>
      </w:r>
      <w:r w:rsidR="00B1280D">
        <w:rPr>
          <w:rFonts w:ascii="Times New Roman" w:hAnsi="Times New Roman" w:cs="Times New Roman"/>
          <w:sz w:val="24"/>
          <w:szCs w:val="24"/>
        </w:rPr>
        <w:t xml:space="preserve"> </w:t>
      </w:r>
      <w:r w:rsidR="00A81504">
        <w:rPr>
          <w:rFonts w:ascii="Times New Roman" w:hAnsi="Times New Roman" w:cs="Times New Roman"/>
          <w:sz w:val="24"/>
          <w:szCs w:val="24"/>
        </w:rPr>
        <w:t>How should courts address these claims?</w:t>
      </w:r>
    </w:p>
    <w:p w14:paraId="45B1F143" w14:textId="5CEAFD72" w:rsidR="00594310" w:rsidRPr="0042152F" w:rsidRDefault="00594310" w:rsidP="00B54C7C">
      <w:pPr>
        <w:spacing w:after="0" w:line="360" w:lineRule="auto"/>
        <w:ind w:firstLine="720"/>
        <w:jc w:val="both"/>
        <w:rPr>
          <w:rFonts w:ascii="Times New Roman" w:hAnsi="Times New Roman" w:cs="Times New Roman"/>
          <w:sz w:val="24"/>
          <w:szCs w:val="24"/>
        </w:rPr>
      </w:pPr>
      <w:r w:rsidRPr="00205362">
        <w:rPr>
          <w:rFonts w:ascii="Times New Roman" w:hAnsi="Times New Roman" w:cs="Times New Roman"/>
          <w:sz w:val="24"/>
          <w:szCs w:val="24"/>
        </w:rPr>
        <w:t>When</w:t>
      </w:r>
      <w:r w:rsidRPr="0042152F">
        <w:rPr>
          <w:rFonts w:ascii="Times New Roman" w:hAnsi="Times New Roman" w:cs="Times New Roman"/>
          <w:sz w:val="24"/>
          <w:szCs w:val="24"/>
        </w:rPr>
        <w:t xml:space="preserve"> reviewing this transaction, the court has no indication that an independent decisionmaker has accepted the entrepreneur’s </w:t>
      </w:r>
      <w:r w:rsidR="00094554" w:rsidRPr="0042152F">
        <w:rPr>
          <w:rFonts w:ascii="Times New Roman" w:hAnsi="Times New Roman" w:cs="Times New Roman"/>
          <w:sz w:val="24"/>
          <w:szCs w:val="24"/>
        </w:rPr>
        <w:t xml:space="preserve">idiosyncratic </w:t>
      </w:r>
      <w:r w:rsidRPr="0042152F">
        <w:rPr>
          <w:rFonts w:ascii="Times New Roman" w:hAnsi="Times New Roman" w:cs="Times New Roman"/>
          <w:sz w:val="24"/>
          <w:szCs w:val="24"/>
        </w:rPr>
        <w:t xml:space="preserve">vision or </w:t>
      </w:r>
      <w:r w:rsidR="009A4698" w:rsidRPr="0042152F">
        <w:rPr>
          <w:rFonts w:ascii="Times New Roman" w:hAnsi="Times New Roman" w:cs="Times New Roman"/>
          <w:sz w:val="24"/>
          <w:szCs w:val="24"/>
        </w:rPr>
        <w:t>determined its value for the company</w:t>
      </w:r>
      <w:r w:rsidR="008C6C98" w:rsidRPr="0042152F">
        <w:rPr>
          <w:rFonts w:ascii="Times New Roman" w:hAnsi="Times New Roman" w:cs="Times New Roman"/>
          <w:sz w:val="24"/>
          <w:szCs w:val="24"/>
        </w:rPr>
        <w:t xml:space="preserve"> in the context of the transaction</w:t>
      </w:r>
      <w:r w:rsidRPr="0042152F">
        <w:rPr>
          <w:rFonts w:ascii="Times New Roman" w:hAnsi="Times New Roman" w:cs="Times New Roman"/>
          <w:sz w:val="24"/>
          <w:szCs w:val="24"/>
        </w:rPr>
        <w:t>. Therefore, the burden should be on the defendant to show that the price was appropriate relative to the</w:t>
      </w:r>
      <w:r w:rsidRPr="0042152F">
        <w:rPr>
          <w:rFonts w:ascii="Times New Roman" w:hAnsi="Times New Roman" w:cs="Times New Roman"/>
          <w:i/>
          <w:iCs/>
          <w:sz w:val="24"/>
          <w:szCs w:val="24"/>
        </w:rPr>
        <w:t xml:space="preserve"> average </w:t>
      </w:r>
      <w:r w:rsidR="00347E7F" w:rsidRPr="0042152F">
        <w:rPr>
          <w:rFonts w:ascii="Times New Roman" w:hAnsi="Times New Roman" w:cs="Times New Roman"/>
          <w:i/>
          <w:iCs/>
          <w:sz w:val="24"/>
          <w:szCs w:val="24"/>
        </w:rPr>
        <w:t xml:space="preserve">asset’s </w:t>
      </w:r>
      <w:r w:rsidRPr="0042152F">
        <w:rPr>
          <w:rFonts w:ascii="Times New Roman" w:hAnsi="Times New Roman" w:cs="Times New Roman"/>
          <w:i/>
          <w:iCs/>
          <w:sz w:val="24"/>
          <w:szCs w:val="24"/>
        </w:rPr>
        <w:t>value</w:t>
      </w:r>
      <w:r w:rsidRPr="0042152F">
        <w:rPr>
          <w:rFonts w:ascii="Times New Roman" w:hAnsi="Times New Roman" w:cs="Times New Roman"/>
          <w:sz w:val="24"/>
          <w:szCs w:val="24"/>
        </w:rPr>
        <w:t xml:space="preserve">. </w:t>
      </w:r>
      <w:r w:rsidR="006C0E99" w:rsidRPr="0042152F">
        <w:rPr>
          <w:rFonts w:ascii="Times New Roman" w:hAnsi="Times New Roman" w:cs="Times New Roman"/>
          <w:sz w:val="24"/>
          <w:szCs w:val="24"/>
        </w:rPr>
        <w:t xml:space="preserve">Here, typical valuation techniques that depend on comparable </w:t>
      </w:r>
      <w:r w:rsidR="00D90860" w:rsidRPr="0042152F">
        <w:rPr>
          <w:rFonts w:ascii="Times New Roman" w:hAnsi="Times New Roman" w:cs="Times New Roman"/>
          <w:sz w:val="24"/>
          <w:szCs w:val="24"/>
        </w:rPr>
        <w:t xml:space="preserve">benchmarks or </w:t>
      </w:r>
      <w:r w:rsidR="006C0E99" w:rsidRPr="0042152F">
        <w:rPr>
          <w:rFonts w:ascii="Times New Roman" w:hAnsi="Times New Roman" w:cs="Times New Roman"/>
          <w:sz w:val="24"/>
          <w:szCs w:val="24"/>
        </w:rPr>
        <w:t>companies would help the court arrive at its answer</w:t>
      </w:r>
      <w:r w:rsidR="00337B37" w:rsidRPr="0042152F">
        <w:rPr>
          <w:rFonts w:ascii="Times New Roman" w:hAnsi="Times New Roman" w:cs="Times New Roman"/>
          <w:sz w:val="24"/>
          <w:szCs w:val="24"/>
        </w:rPr>
        <w:t xml:space="preserve">; claims </w:t>
      </w:r>
      <w:r w:rsidR="0001671E" w:rsidRPr="0042152F">
        <w:rPr>
          <w:rFonts w:ascii="Times New Roman" w:hAnsi="Times New Roman" w:cs="Times New Roman"/>
          <w:sz w:val="24"/>
          <w:szCs w:val="24"/>
        </w:rPr>
        <w:t xml:space="preserve">about the controller having an idiosyncratic vision or any other special traits </w:t>
      </w:r>
      <w:r w:rsidR="00337B37" w:rsidRPr="0042152F">
        <w:rPr>
          <w:rFonts w:ascii="Times New Roman" w:hAnsi="Times New Roman" w:cs="Times New Roman"/>
          <w:sz w:val="24"/>
          <w:szCs w:val="24"/>
        </w:rPr>
        <w:t xml:space="preserve">that drive above-average value </w:t>
      </w:r>
      <w:r w:rsidR="0001671E" w:rsidRPr="0042152F">
        <w:rPr>
          <w:rFonts w:ascii="Times New Roman" w:hAnsi="Times New Roman" w:cs="Times New Roman"/>
          <w:sz w:val="24"/>
          <w:szCs w:val="24"/>
        </w:rPr>
        <w:t>w</w:t>
      </w:r>
      <w:r w:rsidR="009E5FD8" w:rsidRPr="0042152F">
        <w:rPr>
          <w:rFonts w:ascii="Times New Roman" w:hAnsi="Times New Roman" w:cs="Times New Roman"/>
          <w:sz w:val="24"/>
          <w:szCs w:val="24"/>
        </w:rPr>
        <w:t>ould</w:t>
      </w:r>
      <w:r w:rsidR="0001671E" w:rsidRPr="0042152F">
        <w:rPr>
          <w:rFonts w:ascii="Times New Roman" w:hAnsi="Times New Roman" w:cs="Times New Roman"/>
          <w:sz w:val="24"/>
          <w:szCs w:val="24"/>
        </w:rPr>
        <w:t xml:space="preserve"> </w:t>
      </w:r>
      <w:r w:rsidR="00BB314D" w:rsidRPr="0042152F">
        <w:rPr>
          <w:rFonts w:ascii="Times New Roman" w:hAnsi="Times New Roman" w:cs="Times New Roman"/>
          <w:sz w:val="24"/>
          <w:szCs w:val="24"/>
        </w:rPr>
        <w:t xml:space="preserve">generally </w:t>
      </w:r>
      <w:r w:rsidR="0001671E" w:rsidRPr="0042152F">
        <w:rPr>
          <w:rFonts w:ascii="Times New Roman" w:hAnsi="Times New Roman" w:cs="Times New Roman"/>
          <w:sz w:val="24"/>
          <w:szCs w:val="24"/>
        </w:rPr>
        <w:t>be disregarded.</w:t>
      </w:r>
    </w:p>
    <w:p w14:paraId="24FA33C7" w14:textId="7D1042B3" w:rsidR="00594310" w:rsidRPr="0042152F" w:rsidRDefault="00594310"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By contrast, when the transaction has been cleansed by a single mechanism, the analysis would change</w:t>
      </w:r>
      <w:r w:rsidR="0090032C">
        <w:rPr>
          <w:rFonts w:ascii="Times New Roman" w:hAnsi="Times New Roman" w:cs="Times New Roman"/>
          <w:sz w:val="24"/>
          <w:szCs w:val="24"/>
        </w:rPr>
        <w:t xml:space="preserve">. </w:t>
      </w:r>
      <w:r w:rsidR="00BB71CB">
        <w:rPr>
          <w:rFonts w:ascii="Times New Roman" w:hAnsi="Times New Roman" w:cs="Times New Roman"/>
          <w:sz w:val="24"/>
          <w:szCs w:val="24"/>
        </w:rPr>
        <w:t>And h</w:t>
      </w:r>
      <w:r w:rsidR="00087D2A" w:rsidRPr="0042152F">
        <w:rPr>
          <w:rFonts w:ascii="Times New Roman" w:hAnsi="Times New Roman" w:cs="Times New Roman"/>
          <w:sz w:val="24"/>
          <w:szCs w:val="24"/>
        </w:rPr>
        <w:t>ere,</w:t>
      </w:r>
      <w:r w:rsidRPr="0042152F">
        <w:rPr>
          <w:rFonts w:ascii="Times New Roman" w:hAnsi="Times New Roman" w:cs="Times New Roman"/>
          <w:sz w:val="24"/>
          <w:szCs w:val="24"/>
        </w:rPr>
        <w:t xml:space="preserve"> </w:t>
      </w:r>
      <w:r w:rsidR="0090032C">
        <w:rPr>
          <w:rFonts w:ascii="Times New Roman" w:hAnsi="Times New Roman" w:cs="Times New Roman"/>
          <w:sz w:val="24"/>
          <w:szCs w:val="24"/>
        </w:rPr>
        <w:t xml:space="preserve">we argue, </w:t>
      </w:r>
      <w:r w:rsidRPr="0042152F">
        <w:rPr>
          <w:rFonts w:ascii="Times New Roman" w:hAnsi="Times New Roman" w:cs="Times New Roman"/>
          <w:sz w:val="24"/>
          <w:szCs w:val="24"/>
        </w:rPr>
        <w:t xml:space="preserve">the choice of </w:t>
      </w:r>
      <w:r w:rsidR="00094554" w:rsidRPr="0042152F">
        <w:rPr>
          <w:rFonts w:ascii="Times New Roman" w:hAnsi="Times New Roman" w:cs="Times New Roman"/>
          <w:sz w:val="24"/>
          <w:szCs w:val="24"/>
        </w:rPr>
        <w:t xml:space="preserve">the </w:t>
      </w:r>
      <w:r w:rsidRPr="0042152F">
        <w:rPr>
          <w:rFonts w:ascii="Times New Roman" w:hAnsi="Times New Roman" w:cs="Times New Roman"/>
          <w:sz w:val="24"/>
          <w:szCs w:val="24"/>
        </w:rPr>
        <w:t xml:space="preserve">mechanism </w:t>
      </w:r>
      <w:r w:rsidR="0090032C">
        <w:rPr>
          <w:rFonts w:ascii="Times New Roman" w:hAnsi="Times New Roman" w:cs="Times New Roman"/>
          <w:sz w:val="24"/>
          <w:szCs w:val="24"/>
        </w:rPr>
        <w:t xml:space="preserve">should </w:t>
      </w:r>
      <w:r w:rsidRPr="0042152F">
        <w:rPr>
          <w:rFonts w:ascii="Times New Roman" w:hAnsi="Times New Roman" w:cs="Times New Roman"/>
          <w:sz w:val="24"/>
          <w:szCs w:val="24"/>
        </w:rPr>
        <w:t xml:space="preserve">matter. </w:t>
      </w:r>
      <w:r w:rsidR="00094554" w:rsidRPr="0042152F">
        <w:rPr>
          <w:rFonts w:ascii="Times New Roman" w:hAnsi="Times New Roman" w:cs="Times New Roman"/>
          <w:sz w:val="24"/>
          <w:szCs w:val="24"/>
        </w:rPr>
        <w:t>Consider</w:t>
      </w:r>
      <w:r w:rsidR="00C91208" w:rsidRPr="0042152F">
        <w:rPr>
          <w:rFonts w:ascii="Times New Roman" w:hAnsi="Times New Roman" w:cs="Times New Roman"/>
          <w:sz w:val="24"/>
          <w:szCs w:val="24"/>
        </w:rPr>
        <w:t xml:space="preserve"> first</w:t>
      </w:r>
      <w:r w:rsidRPr="0042152F">
        <w:rPr>
          <w:rFonts w:ascii="Times New Roman" w:hAnsi="Times New Roman" w:cs="Times New Roman"/>
          <w:sz w:val="24"/>
          <w:szCs w:val="24"/>
        </w:rPr>
        <w:t xml:space="preserve"> a conflicted controller transaction that is negotiated by a special committee but has not been </w:t>
      </w:r>
      <w:r w:rsidR="006C0E99" w:rsidRPr="0042152F">
        <w:rPr>
          <w:rFonts w:ascii="Times New Roman" w:hAnsi="Times New Roman" w:cs="Times New Roman"/>
          <w:sz w:val="24"/>
          <w:szCs w:val="24"/>
        </w:rPr>
        <w:t>approved by</w:t>
      </w:r>
      <w:r w:rsidRPr="0042152F">
        <w:rPr>
          <w:rFonts w:ascii="Times New Roman" w:hAnsi="Times New Roman" w:cs="Times New Roman"/>
          <w:sz w:val="24"/>
          <w:szCs w:val="24"/>
        </w:rPr>
        <w:t xml:space="preserve"> the disinterested shareholders.</w:t>
      </w:r>
      <w:r w:rsidR="00636841" w:rsidRPr="0042152F">
        <w:rPr>
          <w:rStyle w:val="FootnoteReference"/>
          <w:rFonts w:ascii="Times New Roman" w:hAnsi="Times New Roman" w:cs="Times New Roman"/>
          <w:sz w:val="24"/>
          <w:szCs w:val="24"/>
        </w:rPr>
        <w:footnoteReference w:id="247"/>
      </w:r>
      <w:r w:rsidRPr="0042152F">
        <w:rPr>
          <w:rFonts w:ascii="Times New Roman" w:hAnsi="Times New Roman" w:cs="Times New Roman"/>
          <w:sz w:val="24"/>
          <w:szCs w:val="24"/>
        </w:rPr>
        <w:t xml:space="preserve"> </w:t>
      </w:r>
      <w:r w:rsidR="009619F1">
        <w:rPr>
          <w:rFonts w:ascii="Times New Roman" w:hAnsi="Times New Roman" w:cs="Times New Roman"/>
          <w:sz w:val="24"/>
          <w:szCs w:val="24"/>
        </w:rPr>
        <w:t>U</w:t>
      </w:r>
      <w:r w:rsidR="009619F1" w:rsidRPr="0042152F">
        <w:rPr>
          <w:rFonts w:ascii="Times New Roman" w:hAnsi="Times New Roman" w:cs="Times New Roman"/>
          <w:sz w:val="24"/>
          <w:szCs w:val="24"/>
        </w:rPr>
        <w:t xml:space="preserve">nder </w:t>
      </w:r>
      <w:r w:rsidR="009619F1" w:rsidRPr="0042152F">
        <w:rPr>
          <w:rFonts w:ascii="Times New Roman" w:hAnsi="Times New Roman" w:cs="Times New Roman"/>
          <w:i/>
          <w:iCs/>
          <w:sz w:val="24"/>
          <w:szCs w:val="24"/>
        </w:rPr>
        <w:t>MFW</w:t>
      </w:r>
      <w:r w:rsidR="009619F1" w:rsidRPr="0042152F">
        <w:rPr>
          <w:rFonts w:ascii="Times New Roman" w:hAnsi="Times New Roman" w:cs="Times New Roman"/>
          <w:sz w:val="24"/>
          <w:szCs w:val="24"/>
        </w:rPr>
        <w:t>, the approval of the special committee will shift the burden from the controller to the plaintiff to show that the price was unfair.</w:t>
      </w:r>
      <w:r w:rsidR="009619F1">
        <w:rPr>
          <w:rFonts w:ascii="Times New Roman" w:hAnsi="Times New Roman" w:cs="Times New Roman"/>
          <w:sz w:val="24"/>
          <w:szCs w:val="24"/>
        </w:rPr>
        <w:t xml:space="preserve"> Imagine that the </w:t>
      </w:r>
      <w:r w:rsidR="00296231">
        <w:rPr>
          <w:rFonts w:ascii="Times New Roman" w:hAnsi="Times New Roman" w:cs="Times New Roman"/>
          <w:sz w:val="24"/>
          <w:szCs w:val="24"/>
        </w:rPr>
        <w:t xml:space="preserve">defendants </w:t>
      </w:r>
      <w:r w:rsidR="00571B5C">
        <w:rPr>
          <w:rFonts w:ascii="Times New Roman" w:hAnsi="Times New Roman" w:cs="Times New Roman"/>
          <w:sz w:val="24"/>
          <w:szCs w:val="24"/>
        </w:rPr>
        <w:t>continue to</w:t>
      </w:r>
      <w:r w:rsidR="00B75216">
        <w:rPr>
          <w:rFonts w:ascii="Times New Roman" w:hAnsi="Times New Roman" w:cs="Times New Roman"/>
          <w:sz w:val="24"/>
          <w:szCs w:val="24"/>
        </w:rPr>
        <w:t xml:space="preserve"> </w:t>
      </w:r>
      <w:r w:rsidR="00296231">
        <w:rPr>
          <w:rFonts w:ascii="Times New Roman" w:hAnsi="Times New Roman" w:cs="Times New Roman"/>
          <w:sz w:val="24"/>
          <w:szCs w:val="24"/>
        </w:rPr>
        <w:t xml:space="preserve">argue that the transaction is fair </w:t>
      </w:r>
      <w:r w:rsidR="0066203B">
        <w:rPr>
          <w:rFonts w:ascii="Times New Roman" w:hAnsi="Times New Roman" w:cs="Times New Roman"/>
          <w:sz w:val="24"/>
          <w:szCs w:val="24"/>
        </w:rPr>
        <w:t xml:space="preserve">because </w:t>
      </w:r>
      <w:r w:rsidR="00062091">
        <w:rPr>
          <w:rFonts w:ascii="Times New Roman" w:hAnsi="Times New Roman" w:cs="Times New Roman"/>
          <w:sz w:val="24"/>
          <w:szCs w:val="24"/>
        </w:rPr>
        <w:t xml:space="preserve">it reflects the </w:t>
      </w:r>
      <w:r w:rsidR="00D1121F">
        <w:rPr>
          <w:rFonts w:ascii="Times New Roman" w:hAnsi="Times New Roman" w:cs="Times New Roman"/>
          <w:sz w:val="24"/>
          <w:szCs w:val="24"/>
        </w:rPr>
        <w:t xml:space="preserve">value of the controller’s vision, </w:t>
      </w:r>
      <w:r w:rsidR="00813D2D">
        <w:rPr>
          <w:rFonts w:ascii="Times New Roman" w:hAnsi="Times New Roman" w:cs="Times New Roman"/>
          <w:sz w:val="24"/>
          <w:szCs w:val="24"/>
        </w:rPr>
        <w:t>which</w:t>
      </w:r>
      <w:r w:rsidR="00D1121F">
        <w:rPr>
          <w:rFonts w:ascii="Times New Roman" w:hAnsi="Times New Roman" w:cs="Times New Roman"/>
          <w:sz w:val="24"/>
          <w:szCs w:val="24"/>
        </w:rPr>
        <w:t xml:space="preserve"> cannot be determined based on acceptable valuation methods or </w:t>
      </w:r>
      <w:r w:rsidR="006A478A">
        <w:rPr>
          <w:rFonts w:ascii="Times New Roman" w:hAnsi="Times New Roman" w:cs="Times New Roman"/>
          <w:sz w:val="24"/>
          <w:szCs w:val="24"/>
        </w:rPr>
        <w:t>reference to comparable transactions.</w:t>
      </w:r>
      <w:r w:rsidR="0066203B">
        <w:rPr>
          <w:rFonts w:ascii="Times New Roman" w:hAnsi="Times New Roman" w:cs="Times New Roman"/>
          <w:sz w:val="24"/>
          <w:szCs w:val="24"/>
        </w:rPr>
        <w:t xml:space="preserve"> </w:t>
      </w:r>
      <w:r w:rsidR="00E8332C">
        <w:rPr>
          <w:rFonts w:ascii="Times New Roman" w:hAnsi="Times New Roman" w:cs="Times New Roman"/>
          <w:sz w:val="24"/>
          <w:szCs w:val="24"/>
        </w:rPr>
        <w:t>I</w:t>
      </w:r>
      <w:r w:rsidRPr="0042152F">
        <w:rPr>
          <w:rFonts w:ascii="Times New Roman" w:hAnsi="Times New Roman" w:cs="Times New Roman"/>
          <w:sz w:val="24"/>
          <w:szCs w:val="24"/>
        </w:rPr>
        <w:t>ndependent directors</w:t>
      </w:r>
      <w:r w:rsidR="00E8332C">
        <w:rPr>
          <w:rFonts w:ascii="Times New Roman" w:hAnsi="Times New Roman" w:cs="Times New Roman"/>
          <w:sz w:val="24"/>
          <w:szCs w:val="24"/>
        </w:rPr>
        <w:t>, however,</w:t>
      </w:r>
      <w:r w:rsidRPr="0042152F">
        <w:rPr>
          <w:rFonts w:ascii="Times New Roman" w:hAnsi="Times New Roman" w:cs="Times New Roman"/>
          <w:sz w:val="24"/>
          <w:szCs w:val="24"/>
        </w:rPr>
        <w:t xml:space="preserve"> suffer from the same valuation difficulties as courts—they </w:t>
      </w:r>
      <w:r w:rsidR="005369F9" w:rsidRPr="0042152F">
        <w:rPr>
          <w:rFonts w:ascii="Times New Roman" w:hAnsi="Times New Roman" w:cs="Times New Roman"/>
          <w:sz w:val="24"/>
          <w:szCs w:val="24"/>
        </w:rPr>
        <w:t>la</w:t>
      </w:r>
      <w:r w:rsidR="00CF0AA8" w:rsidRPr="0042152F">
        <w:rPr>
          <w:rFonts w:ascii="Times New Roman" w:hAnsi="Times New Roman" w:cs="Times New Roman"/>
          <w:sz w:val="24"/>
          <w:szCs w:val="24"/>
        </w:rPr>
        <w:t>ck an objective method for determining the value of the controller’s vision</w:t>
      </w:r>
      <w:r w:rsidRPr="0042152F">
        <w:rPr>
          <w:rFonts w:ascii="Times New Roman" w:hAnsi="Times New Roman" w:cs="Times New Roman"/>
          <w:sz w:val="24"/>
          <w:szCs w:val="24"/>
        </w:rPr>
        <w:t>. Further, Delaware law is skeptical that even purportedly independent directors at controlled companies will discharge their duties to the minority shareholders fairly.</w:t>
      </w:r>
      <w:r w:rsidRPr="0042152F">
        <w:rPr>
          <w:rStyle w:val="FootnoteReference"/>
          <w:rFonts w:ascii="Times New Roman" w:hAnsi="Times New Roman" w:cs="Times New Roman"/>
          <w:sz w:val="24"/>
          <w:szCs w:val="24"/>
        </w:rPr>
        <w:footnoteReference w:id="248"/>
      </w:r>
      <w:r w:rsidRPr="0042152F">
        <w:rPr>
          <w:rFonts w:ascii="Times New Roman" w:hAnsi="Times New Roman" w:cs="Times New Roman"/>
          <w:sz w:val="24"/>
          <w:szCs w:val="24"/>
        </w:rPr>
        <w:t xml:space="preserve"> This is so for routine compensation decisions, as well as fundamental transactions like squeeze outs.</w:t>
      </w:r>
      <w:r w:rsidRPr="0042152F">
        <w:rPr>
          <w:rStyle w:val="FootnoteReference"/>
          <w:rFonts w:ascii="Times New Roman" w:hAnsi="Times New Roman" w:cs="Times New Roman"/>
          <w:sz w:val="24"/>
          <w:szCs w:val="24"/>
        </w:rPr>
        <w:footnoteReference w:id="249"/>
      </w:r>
      <w:r w:rsidRPr="0042152F">
        <w:rPr>
          <w:rFonts w:ascii="Times New Roman" w:hAnsi="Times New Roman" w:cs="Times New Roman"/>
          <w:sz w:val="24"/>
          <w:szCs w:val="24"/>
        </w:rPr>
        <w:t xml:space="preserve"> As such, a lingering concern remains about the special committee’s approval process: did the</w:t>
      </w:r>
      <w:r w:rsidR="006C0E99" w:rsidRPr="0042152F">
        <w:rPr>
          <w:rFonts w:ascii="Times New Roman" w:hAnsi="Times New Roman" w:cs="Times New Roman"/>
          <w:sz w:val="24"/>
          <w:szCs w:val="24"/>
        </w:rPr>
        <w:t xml:space="preserve"> committee</w:t>
      </w:r>
      <w:r w:rsidRPr="0042152F">
        <w:rPr>
          <w:rFonts w:ascii="Times New Roman" w:hAnsi="Times New Roman" w:cs="Times New Roman"/>
          <w:sz w:val="24"/>
          <w:szCs w:val="24"/>
        </w:rPr>
        <w:t xml:space="preserve"> truly embrace the controller’s vision and the price, or we</w:t>
      </w:r>
      <w:r w:rsidR="0001671E" w:rsidRPr="0042152F">
        <w:rPr>
          <w:rFonts w:ascii="Times New Roman" w:hAnsi="Times New Roman" w:cs="Times New Roman"/>
          <w:sz w:val="24"/>
          <w:szCs w:val="24"/>
        </w:rPr>
        <w:t>re</w:t>
      </w:r>
      <w:r w:rsidRPr="0042152F">
        <w:rPr>
          <w:rFonts w:ascii="Times New Roman" w:hAnsi="Times New Roman" w:cs="Times New Roman"/>
          <w:sz w:val="24"/>
          <w:szCs w:val="24"/>
        </w:rPr>
        <w:t xml:space="preserve"> they swayed by the controller’s outsized influence over the company and the board? </w:t>
      </w:r>
    </w:p>
    <w:p w14:paraId="1BD8BAFC" w14:textId="3D724A8D" w:rsidR="00594310" w:rsidRPr="0042152F" w:rsidRDefault="00594310"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Without the vote of the disinterested shareholders approving the transaction, these lingering concerns remain unaddressed.</w:t>
      </w:r>
      <w:r w:rsidR="003C5CF6" w:rsidRPr="0042152F">
        <w:rPr>
          <w:rFonts w:ascii="Times New Roman" w:hAnsi="Times New Roman" w:cs="Times New Roman"/>
          <w:sz w:val="24"/>
          <w:szCs w:val="24"/>
        </w:rPr>
        <w:t xml:space="preserve"> </w:t>
      </w:r>
      <w:r w:rsidR="006D223C">
        <w:rPr>
          <w:rFonts w:ascii="Times New Roman" w:hAnsi="Times New Roman" w:cs="Times New Roman"/>
          <w:sz w:val="24"/>
          <w:szCs w:val="24"/>
        </w:rPr>
        <w:t xml:space="preserve"> Thus, we believe that courts should give </w:t>
      </w:r>
      <w:r w:rsidR="00681D60">
        <w:rPr>
          <w:rFonts w:ascii="Times New Roman" w:hAnsi="Times New Roman" w:cs="Times New Roman"/>
          <w:sz w:val="24"/>
          <w:szCs w:val="24"/>
        </w:rPr>
        <w:t xml:space="preserve">little weight, if at all, to defendants’ claim that </w:t>
      </w:r>
      <w:r w:rsidR="00AC798A">
        <w:rPr>
          <w:rFonts w:ascii="Times New Roman" w:hAnsi="Times New Roman" w:cs="Times New Roman"/>
          <w:sz w:val="24"/>
          <w:szCs w:val="24"/>
        </w:rPr>
        <w:t xml:space="preserve">an effective special committee process, standing alone, </w:t>
      </w:r>
      <w:r w:rsidR="00787AF4">
        <w:rPr>
          <w:rFonts w:ascii="Times New Roman" w:hAnsi="Times New Roman" w:cs="Times New Roman"/>
          <w:sz w:val="24"/>
          <w:szCs w:val="24"/>
        </w:rPr>
        <w:t xml:space="preserve">is a </w:t>
      </w:r>
      <w:r w:rsidR="00096E5A">
        <w:rPr>
          <w:rFonts w:ascii="Times New Roman" w:hAnsi="Times New Roman" w:cs="Times New Roman"/>
          <w:sz w:val="24"/>
          <w:szCs w:val="24"/>
        </w:rPr>
        <w:t>strong indication of the</w:t>
      </w:r>
      <w:r w:rsidR="00676281">
        <w:rPr>
          <w:rFonts w:ascii="Times New Roman" w:hAnsi="Times New Roman" w:cs="Times New Roman"/>
          <w:sz w:val="24"/>
          <w:szCs w:val="24"/>
        </w:rPr>
        <w:t xml:space="preserve"> value of the controller’s vision.</w:t>
      </w:r>
      <w:r w:rsidR="00AC798A">
        <w:rPr>
          <w:rFonts w:ascii="Times New Roman" w:hAnsi="Times New Roman" w:cs="Times New Roman"/>
          <w:sz w:val="24"/>
          <w:szCs w:val="24"/>
        </w:rPr>
        <w:t xml:space="preserve"> </w:t>
      </w:r>
      <w:r w:rsidR="00610A25" w:rsidRPr="0042152F">
        <w:rPr>
          <w:rFonts w:ascii="Times New Roman" w:hAnsi="Times New Roman" w:cs="Times New Roman"/>
          <w:sz w:val="24"/>
          <w:szCs w:val="24"/>
        </w:rPr>
        <w:t>To meet their burden</w:t>
      </w:r>
      <w:r w:rsidR="003C5CF6" w:rsidRPr="0042152F">
        <w:rPr>
          <w:rFonts w:ascii="Times New Roman" w:hAnsi="Times New Roman" w:cs="Times New Roman"/>
          <w:sz w:val="24"/>
          <w:szCs w:val="24"/>
        </w:rPr>
        <w:t xml:space="preserve">, </w:t>
      </w:r>
      <w:r w:rsidR="009E5FD8" w:rsidRPr="0042152F">
        <w:rPr>
          <w:rFonts w:ascii="Times New Roman" w:hAnsi="Times New Roman" w:cs="Times New Roman"/>
          <w:sz w:val="24"/>
          <w:szCs w:val="24"/>
        </w:rPr>
        <w:t>we believe that the</w:t>
      </w:r>
      <w:r w:rsidR="003C5CF6" w:rsidRPr="0042152F">
        <w:rPr>
          <w:rFonts w:ascii="Times New Roman" w:hAnsi="Times New Roman" w:cs="Times New Roman"/>
          <w:sz w:val="24"/>
          <w:szCs w:val="24"/>
        </w:rPr>
        <w:t xml:space="preserve"> plaintiff </w:t>
      </w:r>
      <w:r w:rsidR="009E5FD8" w:rsidRPr="0042152F">
        <w:rPr>
          <w:rFonts w:ascii="Times New Roman" w:hAnsi="Times New Roman" w:cs="Times New Roman"/>
          <w:sz w:val="24"/>
          <w:szCs w:val="24"/>
        </w:rPr>
        <w:t>should be permitted to</w:t>
      </w:r>
      <w:r w:rsidR="00EB1C4B" w:rsidRPr="0042152F">
        <w:rPr>
          <w:rFonts w:ascii="Times New Roman" w:hAnsi="Times New Roman" w:cs="Times New Roman"/>
          <w:sz w:val="24"/>
          <w:szCs w:val="24"/>
        </w:rPr>
        <w:t xml:space="preserve"> </w:t>
      </w:r>
      <w:r w:rsidR="003C5CF6" w:rsidRPr="0042152F">
        <w:rPr>
          <w:rFonts w:ascii="Times New Roman" w:hAnsi="Times New Roman" w:cs="Times New Roman"/>
          <w:sz w:val="24"/>
          <w:szCs w:val="24"/>
        </w:rPr>
        <w:t xml:space="preserve">provide evidence about the average value of similar transactions. </w:t>
      </w:r>
      <w:r w:rsidR="009E5FD8" w:rsidRPr="0042152F">
        <w:rPr>
          <w:rFonts w:ascii="Times New Roman" w:hAnsi="Times New Roman" w:cs="Times New Roman"/>
          <w:sz w:val="24"/>
          <w:szCs w:val="24"/>
        </w:rPr>
        <w:t>As a result</w:t>
      </w:r>
      <w:r w:rsidR="003C5CF6" w:rsidRPr="0042152F">
        <w:rPr>
          <w:rFonts w:ascii="Times New Roman" w:hAnsi="Times New Roman" w:cs="Times New Roman"/>
          <w:sz w:val="24"/>
          <w:szCs w:val="24"/>
        </w:rPr>
        <w:t xml:space="preserve">, </w:t>
      </w:r>
      <w:r w:rsidR="003069B8">
        <w:rPr>
          <w:rFonts w:ascii="Times New Roman" w:hAnsi="Times New Roman" w:cs="Times New Roman"/>
          <w:sz w:val="24"/>
          <w:szCs w:val="24"/>
        </w:rPr>
        <w:t xml:space="preserve">courts should generally disregard </w:t>
      </w:r>
      <w:r w:rsidR="003C5CF6" w:rsidRPr="0042152F">
        <w:rPr>
          <w:rFonts w:ascii="Times New Roman" w:hAnsi="Times New Roman" w:cs="Times New Roman"/>
          <w:sz w:val="24"/>
          <w:szCs w:val="24"/>
        </w:rPr>
        <w:t xml:space="preserve">claims about the controller having an idiosyncratic vision or any other special traits </w:t>
      </w:r>
      <w:r w:rsidR="003069B8">
        <w:rPr>
          <w:rFonts w:ascii="Times New Roman" w:hAnsi="Times New Roman" w:cs="Times New Roman"/>
          <w:sz w:val="24"/>
          <w:szCs w:val="24"/>
        </w:rPr>
        <w:t>that render acceptable valuation methodologies irrelevant</w:t>
      </w:r>
      <w:r w:rsidR="003C5CF6" w:rsidRPr="0042152F">
        <w:rPr>
          <w:rFonts w:ascii="Times New Roman" w:hAnsi="Times New Roman" w:cs="Times New Roman"/>
          <w:sz w:val="24"/>
          <w:szCs w:val="24"/>
        </w:rPr>
        <w:t>.</w:t>
      </w:r>
      <w:r w:rsidR="009E5FD8" w:rsidRPr="0042152F">
        <w:rPr>
          <w:rFonts w:ascii="Times New Roman" w:hAnsi="Times New Roman" w:cs="Times New Roman"/>
          <w:sz w:val="24"/>
          <w:szCs w:val="24"/>
        </w:rPr>
        <w:t xml:space="preserve"> </w:t>
      </w:r>
    </w:p>
    <w:p w14:paraId="035ACF32" w14:textId="4F01AE1E" w:rsidR="00253458" w:rsidRPr="0042152F" w:rsidRDefault="00594310"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Now consider </w:t>
      </w:r>
      <w:r w:rsidR="00D07F41" w:rsidRPr="0042152F">
        <w:rPr>
          <w:rFonts w:ascii="Times New Roman" w:hAnsi="Times New Roman" w:cs="Times New Roman"/>
          <w:sz w:val="24"/>
          <w:szCs w:val="24"/>
        </w:rPr>
        <w:t>a</w:t>
      </w:r>
      <w:r w:rsidRPr="0042152F">
        <w:rPr>
          <w:rFonts w:ascii="Times New Roman" w:hAnsi="Times New Roman" w:cs="Times New Roman"/>
          <w:sz w:val="24"/>
          <w:szCs w:val="24"/>
        </w:rPr>
        <w:t xml:space="preserve"> </w:t>
      </w:r>
      <w:r w:rsidR="00CE509E" w:rsidRPr="0042152F">
        <w:rPr>
          <w:rFonts w:ascii="Times New Roman" w:hAnsi="Times New Roman" w:cs="Times New Roman"/>
          <w:sz w:val="24"/>
          <w:szCs w:val="24"/>
        </w:rPr>
        <w:t>self-dealing</w:t>
      </w:r>
      <w:r w:rsidRPr="0042152F">
        <w:rPr>
          <w:rFonts w:ascii="Times New Roman" w:hAnsi="Times New Roman" w:cs="Times New Roman"/>
          <w:sz w:val="24"/>
          <w:szCs w:val="24"/>
        </w:rPr>
        <w:t xml:space="preserve"> </w:t>
      </w:r>
      <w:r w:rsidR="00D07F41" w:rsidRPr="0042152F">
        <w:rPr>
          <w:rFonts w:ascii="Times New Roman" w:hAnsi="Times New Roman" w:cs="Times New Roman"/>
          <w:sz w:val="24"/>
          <w:szCs w:val="24"/>
        </w:rPr>
        <w:t>transaction that was negotiated by</w:t>
      </w:r>
      <w:r w:rsidRPr="0042152F">
        <w:rPr>
          <w:rFonts w:ascii="Times New Roman" w:hAnsi="Times New Roman" w:cs="Times New Roman"/>
          <w:sz w:val="24"/>
          <w:szCs w:val="24"/>
        </w:rPr>
        <w:t xml:space="preserve"> </w:t>
      </w:r>
      <w:r w:rsidR="0091355F" w:rsidRPr="0042152F">
        <w:rPr>
          <w:rFonts w:ascii="Times New Roman" w:hAnsi="Times New Roman" w:cs="Times New Roman"/>
          <w:sz w:val="24"/>
          <w:szCs w:val="24"/>
        </w:rPr>
        <w:t xml:space="preserve">non-independent </w:t>
      </w:r>
      <w:r w:rsidR="00211679" w:rsidRPr="0042152F">
        <w:rPr>
          <w:rFonts w:ascii="Times New Roman" w:hAnsi="Times New Roman" w:cs="Times New Roman"/>
          <w:sz w:val="24"/>
          <w:szCs w:val="24"/>
        </w:rPr>
        <w:t xml:space="preserve">directors but </w:t>
      </w:r>
      <w:r w:rsidR="00D07F41" w:rsidRPr="0042152F">
        <w:rPr>
          <w:rFonts w:ascii="Times New Roman" w:hAnsi="Times New Roman" w:cs="Times New Roman"/>
          <w:sz w:val="24"/>
          <w:szCs w:val="24"/>
        </w:rPr>
        <w:t xml:space="preserve">is conditioned </w:t>
      </w:r>
      <w:r w:rsidR="00211679" w:rsidRPr="0042152F">
        <w:rPr>
          <w:rFonts w:ascii="Times New Roman" w:hAnsi="Times New Roman" w:cs="Times New Roman"/>
          <w:sz w:val="24"/>
          <w:szCs w:val="24"/>
        </w:rPr>
        <w:t xml:space="preserve">on disinterested shareholder approval. Assume that the shareholders approve </w:t>
      </w:r>
      <w:r w:rsidR="00EB1C4B" w:rsidRPr="0042152F">
        <w:rPr>
          <w:rFonts w:ascii="Times New Roman" w:hAnsi="Times New Roman" w:cs="Times New Roman"/>
          <w:sz w:val="24"/>
          <w:szCs w:val="24"/>
        </w:rPr>
        <w:t xml:space="preserve">the deal </w:t>
      </w:r>
      <w:r w:rsidR="00211679" w:rsidRPr="0042152F">
        <w:rPr>
          <w:rFonts w:ascii="Times New Roman" w:hAnsi="Times New Roman" w:cs="Times New Roman"/>
          <w:sz w:val="24"/>
          <w:szCs w:val="24"/>
        </w:rPr>
        <w:t xml:space="preserve">after receiving full disclosure of </w:t>
      </w:r>
      <w:r w:rsidR="00EB1C4B" w:rsidRPr="0042152F">
        <w:rPr>
          <w:rFonts w:ascii="Times New Roman" w:hAnsi="Times New Roman" w:cs="Times New Roman"/>
          <w:sz w:val="24"/>
          <w:szCs w:val="24"/>
        </w:rPr>
        <w:t>its</w:t>
      </w:r>
      <w:r w:rsidR="00211679" w:rsidRPr="0042152F">
        <w:rPr>
          <w:rFonts w:ascii="Times New Roman" w:hAnsi="Times New Roman" w:cs="Times New Roman"/>
          <w:sz w:val="24"/>
          <w:szCs w:val="24"/>
        </w:rPr>
        <w:t xml:space="preserve"> financial terms. </w:t>
      </w:r>
      <w:r w:rsidR="000E534E">
        <w:rPr>
          <w:rFonts w:ascii="Times New Roman" w:hAnsi="Times New Roman" w:cs="Times New Roman"/>
          <w:sz w:val="24"/>
          <w:szCs w:val="24"/>
        </w:rPr>
        <w:t xml:space="preserve">Once again, under </w:t>
      </w:r>
      <w:r w:rsidR="00A62706">
        <w:rPr>
          <w:rFonts w:ascii="Times New Roman" w:hAnsi="Times New Roman" w:cs="Times New Roman"/>
          <w:sz w:val="24"/>
          <w:szCs w:val="24"/>
        </w:rPr>
        <w:t xml:space="preserve">the </w:t>
      </w:r>
      <w:r w:rsidR="00A62706" w:rsidRPr="00952A82">
        <w:rPr>
          <w:rFonts w:ascii="Times New Roman" w:hAnsi="Times New Roman" w:cs="Times New Roman"/>
          <w:i/>
          <w:iCs/>
          <w:sz w:val="24"/>
          <w:szCs w:val="24"/>
        </w:rPr>
        <w:t>MFW</w:t>
      </w:r>
      <w:r w:rsidR="00A62706">
        <w:rPr>
          <w:rFonts w:ascii="Times New Roman" w:hAnsi="Times New Roman" w:cs="Times New Roman"/>
          <w:sz w:val="24"/>
          <w:szCs w:val="24"/>
        </w:rPr>
        <w:t xml:space="preserve"> framework, </w:t>
      </w:r>
      <w:r w:rsidR="00554F6C">
        <w:rPr>
          <w:rFonts w:ascii="Times New Roman" w:hAnsi="Times New Roman" w:cs="Times New Roman"/>
          <w:sz w:val="24"/>
          <w:szCs w:val="24"/>
        </w:rPr>
        <w:t>the standard of review is entire fairness</w:t>
      </w:r>
      <w:r w:rsidR="00760348">
        <w:rPr>
          <w:rFonts w:ascii="Times New Roman" w:hAnsi="Times New Roman" w:cs="Times New Roman"/>
          <w:sz w:val="24"/>
          <w:szCs w:val="24"/>
        </w:rPr>
        <w:t>,</w:t>
      </w:r>
      <w:r w:rsidR="00554F6C">
        <w:rPr>
          <w:rFonts w:ascii="Times New Roman" w:hAnsi="Times New Roman" w:cs="Times New Roman"/>
          <w:sz w:val="24"/>
          <w:szCs w:val="24"/>
        </w:rPr>
        <w:t xml:space="preserve"> with </w:t>
      </w:r>
      <w:r w:rsidR="00A62706">
        <w:rPr>
          <w:rFonts w:ascii="Times New Roman" w:hAnsi="Times New Roman" w:cs="Times New Roman"/>
          <w:sz w:val="24"/>
          <w:szCs w:val="24"/>
        </w:rPr>
        <w:t>the burden of persuasion on the plaintiffs</w:t>
      </w:r>
      <w:r w:rsidR="00760348">
        <w:rPr>
          <w:rFonts w:ascii="Times New Roman" w:hAnsi="Times New Roman" w:cs="Times New Roman"/>
          <w:sz w:val="24"/>
          <w:szCs w:val="24"/>
        </w:rPr>
        <w:t>.</w:t>
      </w:r>
      <w:r w:rsidR="000E534E">
        <w:rPr>
          <w:rFonts w:ascii="Times New Roman" w:hAnsi="Times New Roman" w:cs="Times New Roman"/>
          <w:sz w:val="24"/>
          <w:szCs w:val="24"/>
        </w:rPr>
        <w:t xml:space="preserve"> </w:t>
      </w:r>
      <w:r w:rsidR="00610A25" w:rsidRPr="0042152F">
        <w:rPr>
          <w:rFonts w:ascii="Times New Roman" w:hAnsi="Times New Roman" w:cs="Times New Roman"/>
          <w:sz w:val="24"/>
          <w:szCs w:val="24"/>
        </w:rPr>
        <w:t>In this scenario</w:t>
      </w:r>
      <w:r w:rsidR="00D07F41" w:rsidRPr="0042152F">
        <w:rPr>
          <w:rFonts w:ascii="Times New Roman" w:hAnsi="Times New Roman" w:cs="Times New Roman"/>
          <w:sz w:val="24"/>
          <w:szCs w:val="24"/>
        </w:rPr>
        <w:t>,</w:t>
      </w:r>
      <w:r w:rsidR="00760348">
        <w:rPr>
          <w:rFonts w:ascii="Times New Roman" w:hAnsi="Times New Roman" w:cs="Times New Roman"/>
          <w:sz w:val="24"/>
          <w:szCs w:val="24"/>
        </w:rPr>
        <w:t xml:space="preserve"> when confronting the defendant’s claim that the transaction reflected the value of the controller’s vision,</w:t>
      </w:r>
      <w:r w:rsidR="00D07F41" w:rsidRPr="0042152F">
        <w:rPr>
          <w:rFonts w:ascii="Times New Roman" w:hAnsi="Times New Roman" w:cs="Times New Roman"/>
          <w:sz w:val="24"/>
          <w:szCs w:val="24"/>
        </w:rPr>
        <w:t xml:space="preserve"> the court has evidence that disinterested parties </w:t>
      </w:r>
      <w:r w:rsidR="0091355F" w:rsidRPr="0042152F">
        <w:rPr>
          <w:rFonts w:ascii="Times New Roman" w:hAnsi="Times New Roman" w:cs="Times New Roman"/>
          <w:sz w:val="24"/>
          <w:szCs w:val="24"/>
        </w:rPr>
        <w:t>with a stake in the outcome</w:t>
      </w:r>
      <w:r w:rsidR="00D07F41" w:rsidRPr="0042152F">
        <w:rPr>
          <w:rFonts w:ascii="Times New Roman" w:hAnsi="Times New Roman" w:cs="Times New Roman"/>
          <w:sz w:val="24"/>
          <w:szCs w:val="24"/>
        </w:rPr>
        <w:t xml:space="preserve"> have embraced </w:t>
      </w:r>
      <w:r w:rsidR="00760348">
        <w:rPr>
          <w:rFonts w:ascii="Times New Roman" w:hAnsi="Times New Roman" w:cs="Times New Roman"/>
          <w:sz w:val="24"/>
          <w:szCs w:val="24"/>
        </w:rPr>
        <w:t>that vision and its value.</w:t>
      </w:r>
      <w:r w:rsidR="00D07F41" w:rsidRPr="0042152F">
        <w:rPr>
          <w:rFonts w:ascii="Times New Roman" w:hAnsi="Times New Roman" w:cs="Times New Roman"/>
          <w:sz w:val="24"/>
          <w:szCs w:val="24"/>
        </w:rPr>
        <w:t xml:space="preserve"> </w:t>
      </w:r>
      <w:r w:rsidR="00A9378E">
        <w:rPr>
          <w:rFonts w:ascii="Times New Roman" w:hAnsi="Times New Roman" w:cs="Times New Roman"/>
          <w:sz w:val="24"/>
          <w:szCs w:val="24"/>
        </w:rPr>
        <w:t>T</w:t>
      </w:r>
      <w:r w:rsidR="00D07F41" w:rsidRPr="0042152F">
        <w:rPr>
          <w:rFonts w:ascii="Times New Roman" w:hAnsi="Times New Roman" w:cs="Times New Roman"/>
          <w:sz w:val="24"/>
          <w:szCs w:val="24"/>
        </w:rPr>
        <w:t xml:space="preserve">he shareholders may err in their valuation, but aggregating their subjective valuations </w:t>
      </w:r>
      <w:r w:rsidR="006539A4" w:rsidRPr="0042152F">
        <w:rPr>
          <w:rFonts w:ascii="Times New Roman" w:hAnsi="Times New Roman" w:cs="Times New Roman"/>
          <w:sz w:val="24"/>
          <w:szCs w:val="24"/>
        </w:rPr>
        <w:t xml:space="preserve">is </w:t>
      </w:r>
      <w:r w:rsidR="001C5FCC">
        <w:rPr>
          <w:rFonts w:ascii="Times New Roman" w:hAnsi="Times New Roman" w:cs="Times New Roman"/>
          <w:sz w:val="24"/>
          <w:szCs w:val="24"/>
        </w:rPr>
        <w:t xml:space="preserve">surely a better </w:t>
      </w:r>
      <w:r w:rsidR="006539A4" w:rsidRPr="0042152F">
        <w:rPr>
          <w:rFonts w:ascii="Times New Roman" w:hAnsi="Times New Roman" w:cs="Times New Roman"/>
          <w:sz w:val="24"/>
          <w:szCs w:val="24"/>
        </w:rPr>
        <w:t>measure of</w:t>
      </w:r>
      <w:r w:rsidR="006C0E99" w:rsidRPr="0042152F">
        <w:rPr>
          <w:rFonts w:ascii="Times New Roman" w:hAnsi="Times New Roman" w:cs="Times New Roman"/>
          <w:sz w:val="24"/>
          <w:szCs w:val="24"/>
        </w:rPr>
        <w:t xml:space="preserve"> the </w:t>
      </w:r>
      <w:r w:rsidR="00372E2C" w:rsidRPr="0042152F">
        <w:rPr>
          <w:rFonts w:ascii="Times New Roman" w:hAnsi="Times New Roman" w:cs="Times New Roman"/>
          <w:sz w:val="24"/>
          <w:szCs w:val="24"/>
        </w:rPr>
        <w:t xml:space="preserve">fairness of the </w:t>
      </w:r>
      <w:r w:rsidR="006C0E99" w:rsidRPr="0042152F">
        <w:rPr>
          <w:rFonts w:ascii="Times New Roman" w:hAnsi="Times New Roman" w:cs="Times New Roman"/>
          <w:sz w:val="24"/>
          <w:szCs w:val="24"/>
        </w:rPr>
        <w:t>transaction and its terms</w:t>
      </w:r>
      <w:r w:rsidR="001C5FCC">
        <w:rPr>
          <w:rFonts w:ascii="Times New Roman" w:hAnsi="Times New Roman" w:cs="Times New Roman"/>
          <w:sz w:val="24"/>
          <w:szCs w:val="24"/>
        </w:rPr>
        <w:t xml:space="preserve"> than </w:t>
      </w:r>
      <w:r w:rsidR="002C3F69">
        <w:rPr>
          <w:rFonts w:ascii="Times New Roman" w:hAnsi="Times New Roman" w:cs="Times New Roman"/>
          <w:sz w:val="24"/>
          <w:szCs w:val="24"/>
        </w:rPr>
        <w:t>an approval by independent directors</w:t>
      </w:r>
      <w:r w:rsidR="00D07F41" w:rsidRPr="0042152F">
        <w:rPr>
          <w:rFonts w:ascii="Times New Roman" w:hAnsi="Times New Roman" w:cs="Times New Roman"/>
          <w:sz w:val="24"/>
          <w:szCs w:val="24"/>
        </w:rPr>
        <w:t>.</w:t>
      </w:r>
      <w:r w:rsidR="00D07F41" w:rsidRPr="0042152F">
        <w:rPr>
          <w:rStyle w:val="FootnoteReference"/>
          <w:rFonts w:ascii="Times New Roman" w:hAnsi="Times New Roman" w:cs="Times New Roman"/>
          <w:sz w:val="24"/>
          <w:szCs w:val="24"/>
        </w:rPr>
        <w:footnoteReference w:id="250"/>
      </w:r>
      <w:r w:rsidR="00D07F41" w:rsidRPr="0042152F">
        <w:rPr>
          <w:rFonts w:ascii="Times New Roman" w:hAnsi="Times New Roman" w:cs="Times New Roman"/>
          <w:sz w:val="24"/>
          <w:szCs w:val="24"/>
        </w:rPr>
        <w:t xml:space="preserve"> </w:t>
      </w:r>
      <w:r w:rsidR="009C4E60">
        <w:rPr>
          <w:rFonts w:ascii="Times New Roman" w:hAnsi="Times New Roman" w:cs="Times New Roman"/>
          <w:sz w:val="24"/>
          <w:szCs w:val="24"/>
        </w:rPr>
        <w:t>W</w:t>
      </w:r>
      <w:r w:rsidR="009C4E60" w:rsidRPr="0042152F">
        <w:rPr>
          <w:rFonts w:ascii="Times New Roman" w:hAnsi="Times New Roman" w:cs="Times New Roman"/>
          <w:sz w:val="24"/>
          <w:szCs w:val="24"/>
        </w:rPr>
        <w:t>ith such a referendum on the value of vision</w:t>
      </w:r>
      <w:r w:rsidR="006C0E99" w:rsidRPr="0042152F">
        <w:rPr>
          <w:rFonts w:ascii="Times New Roman" w:hAnsi="Times New Roman" w:cs="Times New Roman"/>
          <w:sz w:val="24"/>
          <w:szCs w:val="24"/>
        </w:rPr>
        <w:t>, we propose that the court</w:t>
      </w:r>
      <w:r w:rsidR="00EB1C4B" w:rsidRPr="0042152F">
        <w:rPr>
          <w:rFonts w:ascii="Times New Roman" w:hAnsi="Times New Roman" w:cs="Times New Roman"/>
          <w:sz w:val="24"/>
          <w:szCs w:val="24"/>
        </w:rPr>
        <w:t xml:space="preserve"> give little evidentiary weight to</w:t>
      </w:r>
      <w:r w:rsidR="006C0E99" w:rsidRPr="0042152F">
        <w:rPr>
          <w:rFonts w:ascii="Times New Roman" w:hAnsi="Times New Roman" w:cs="Times New Roman"/>
          <w:sz w:val="24"/>
          <w:szCs w:val="24"/>
        </w:rPr>
        <w:t xml:space="preserve"> competitive</w:t>
      </w:r>
      <w:r w:rsidR="00825193" w:rsidRPr="0042152F">
        <w:rPr>
          <w:rFonts w:ascii="Times New Roman" w:hAnsi="Times New Roman" w:cs="Times New Roman"/>
          <w:sz w:val="24"/>
          <w:szCs w:val="24"/>
        </w:rPr>
        <w:t xml:space="preserve"> benchmarks or other evidence of average </w:t>
      </w:r>
      <w:r w:rsidR="006C0E99" w:rsidRPr="0042152F">
        <w:rPr>
          <w:rFonts w:ascii="Times New Roman" w:hAnsi="Times New Roman" w:cs="Times New Roman"/>
          <w:sz w:val="24"/>
          <w:szCs w:val="24"/>
        </w:rPr>
        <w:t>value</w:t>
      </w:r>
      <w:r w:rsidR="00EB1C4B" w:rsidRPr="0042152F">
        <w:rPr>
          <w:rFonts w:ascii="Times New Roman" w:hAnsi="Times New Roman" w:cs="Times New Roman"/>
          <w:sz w:val="24"/>
          <w:szCs w:val="24"/>
        </w:rPr>
        <w:t>s and greater weight to the shareholder vote</w:t>
      </w:r>
      <w:r w:rsidR="00825193" w:rsidRPr="0042152F">
        <w:rPr>
          <w:rFonts w:ascii="Times New Roman" w:hAnsi="Times New Roman" w:cs="Times New Roman"/>
          <w:sz w:val="24"/>
          <w:szCs w:val="24"/>
        </w:rPr>
        <w:t xml:space="preserve">. </w:t>
      </w:r>
    </w:p>
    <w:p w14:paraId="2B3973A4" w14:textId="66F9D4C0" w:rsidR="0070611F" w:rsidRPr="0042152F" w:rsidRDefault="00B978B1"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In each of these scenarios, the court should avoid </w:t>
      </w:r>
      <w:r w:rsidR="00C370A4" w:rsidRPr="0042152F">
        <w:rPr>
          <w:rFonts w:ascii="Times New Roman" w:hAnsi="Times New Roman" w:cs="Times New Roman"/>
          <w:sz w:val="24"/>
          <w:szCs w:val="24"/>
        </w:rPr>
        <w:t xml:space="preserve">a per se rule </w:t>
      </w:r>
      <w:r w:rsidRPr="0042152F">
        <w:rPr>
          <w:rFonts w:ascii="Times New Roman" w:hAnsi="Times New Roman" w:cs="Times New Roman"/>
          <w:sz w:val="24"/>
          <w:szCs w:val="24"/>
        </w:rPr>
        <w:t xml:space="preserve">condemning collaborative negotiations as evidence of unfairness. As discussed in Part </w:t>
      </w:r>
      <w:r w:rsidR="00373FDC" w:rsidRPr="0042152F">
        <w:rPr>
          <w:rFonts w:ascii="Times New Roman" w:hAnsi="Times New Roman" w:cs="Times New Roman"/>
          <w:sz w:val="24"/>
          <w:szCs w:val="24"/>
        </w:rPr>
        <w:t>II.B.</w:t>
      </w:r>
      <w:r w:rsidRPr="0042152F">
        <w:rPr>
          <w:rFonts w:ascii="Times New Roman" w:hAnsi="Times New Roman" w:cs="Times New Roman"/>
          <w:sz w:val="24"/>
          <w:szCs w:val="24"/>
        </w:rPr>
        <w:t>, negotiations can take many forms, ranging from adversarial to collaborative.</w:t>
      </w:r>
      <w:r w:rsidRPr="0042152F">
        <w:rPr>
          <w:rStyle w:val="FootnoteReference"/>
          <w:rFonts w:ascii="Times New Roman" w:hAnsi="Times New Roman" w:cs="Times New Roman"/>
          <w:sz w:val="24"/>
          <w:szCs w:val="24"/>
        </w:rPr>
        <w:footnoteReference w:id="251"/>
      </w:r>
      <w:r w:rsidRPr="0042152F">
        <w:rPr>
          <w:rFonts w:ascii="Times New Roman" w:hAnsi="Times New Roman" w:cs="Times New Roman"/>
          <w:sz w:val="24"/>
          <w:szCs w:val="24"/>
        </w:rPr>
        <w:t xml:space="preserve"> </w:t>
      </w:r>
      <w:r w:rsidR="0070611F" w:rsidRPr="0042152F">
        <w:rPr>
          <w:rFonts w:ascii="Times New Roman" w:hAnsi="Times New Roman" w:cs="Times New Roman"/>
          <w:sz w:val="24"/>
          <w:szCs w:val="24"/>
        </w:rPr>
        <w:t xml:space="preserve">Likewise, the outcome—the dollar value of the transaction, and whether the transaction benefitted or harmed the corporation—should not </w:t>
      </w:r>
      <w:r w:rsidR="008674AE" w:rsidRPr="0042152F">
        <w:rPr>
          <w:rFonts w:ascii="Times New Roman" w:hAnsi="Times New Roman" w:cs="Times New Roman"/>
          <w:sz w:val="24"/>
          <w:szCs w:val="24"/>
        </w:rPr>
        <w:t>color</w:t>
      </w:r>
      <w:r w:rsidR="0070611F" w:rsidRPr="0042152F">
        <w:rPr>
          <w:rFonts w:ascii="Times New Roman" w:hAnsi="Times New Roman" w:cs="Times New Roman"/>
          <w:sz w:val="24"/>
          <w:szCs w:val="24"/>
        </w:rPr>
        <w:t xml:space="preserve"> the process inquiry. </w:t>
      </w:r>
      <w:r w:rsidRPr="0042152F">
        <w:rPr>
          <w:rFonts w:ascii="Times New Roman" w:hAnsi="Times New Roman" w:cs="Times New Roman"/>
          <w:sz w:val="24"/>
          <w:szCs w:val="24"/>
        </w:rPr>
        <w:t xml:space="preserve">Rather than focusing on </w:t>
      </w:r>
      <w:r w:rsidR="0070611F" w:rsidRPr="0042152F">
        <w:rPr>
          <w:rFonts w:ascii="Times New Roman" w:hAnsi="Times New Roman" w:cs="Times New Roman"/>
          <w:sz w:val="24"/>
          <w:szCs w:val="24"/>
        </w:rPr>
        <w:t>these parameters,</w:t>
      </w:r>
      <w:r w:rsidRPr="0042152F">
        <w:rPr>
          <w:rFonts w:ascii="Times New Roman" w:hAnsi="Times New Roman" w:cs="Times New Roman"/>
          <w:sz w:val="24"/>
          <w:szCs w:val="24"/>
        </w:rPr>
        <w:t xml:space="preserve"> the court </w:t>
      </w:r>
      <w:r w:rsidR="0070611F" w:rsidRPr="0042152F">
        <w:rPr>
          <w:rFonts w:ascii="Times New Roman" w:hAnsi="Times New Roman" w:cs="Times New Roman"/>
          <w:sz w:val="24"/>
          <w:szCs w:val="24"/>
        </w:rPr>
        <w:t>should</w:t>
      </w:r>
      <w:r w:rsidRPr="0042152F">
        <w:rPr>
          <w:rFonts w:ascii="Times New Roman" w:hAnsi="Times New Roman" w:cs="Times New Roman"/>
          <w:sz w:val="24"/>
          <w:szCs w:val="24"/>
        </w:rPr>
        <w:t xml:space="preserve"> instead seek out other indicia of fairness</w:t>
      </w:r>
      <w:r w:rsidR="00467888">
        <w:rPr>
          <w:rFonts w:ascii="Times New Roman" w:hAnsi="Times New Roman" w:cs="Times New Roman"/>
          <w:sz w:val="24"/>
          <w:szCs w:val="24"/>
        </w:rPr>
        <w:t>, such as whether</w:t>
      </w:r>
      <w:r w:rsidR="0070611F" w:rsidRPr="0042152F">
        <w:rPr>
          <w:rFonts w:ascii="Times New Roman" w:hAnsi="Times New Roman" w:cs="Times New Roman"/>
          <w:sz w:val="24"/>
          <w:szCs w:val="24"/>
        </w:rPr>
        <w:t xml:space="preserve"> the key negotiating parties attempt</w:t>
      </w:r>
      <w:r w:rsidR="00467888">
        <w:rPr>
          <w:rFonts w:ascii="Times New Roman" w:hAnsi="Times New Roman" w:cs="Times New Roman"/>
          <w:sz w:val="24"/>
          <w:szCs w:val="24"/>
        </w:rPr>
        <w:t>ed</w:t>
      </w:r>
      <w:r w:rsidR="0070611F" w:rsidRPr="0042152F">
        <w:rPr>
          <w:rFonts w:ascii="Times New Roman" w:hAnsi="Times New Roman" w:cs="Times New Roman"/>
          <w:sz w:val="24"/>
          <w:szCs w:val="24"/>
        </w:rPr>
        <w:t xml:space="preserve"> to bargain at arm’s length with the controller and</w:t>
      </w:r>
      <w:r w:rsidR="00467888">
        <w:rPr>
          <w:rFonts w:ascii="Times New Roman" w:hAnsi="Times New Roman" w:cs="Times New Roman"/>
          <w:sz w:val="24"/>
          <w:szCs w:val="24"/>
        </w:rPr>
        <w:t xml:space="preserve"> whether</w:t>
      </w:r>
      <w:r w:rsidR="0070611F" w:rsidRPr="0042152F">
        <w:rPr>
          <w:rFonts w:ascii="Times New Roman" w:hAnsi="Times New Roman" w:cs="Times New Roman"/>
          <w:sz w:val="24"/>
          <w:szCs w:val="24"/>
        </w:rPr>
        <w:t xml:space="preserve"> they excise</w:t>
      </w:r>
      <w:r w:rsidR="00467888">
        <w:rPr>
          <w:rFonts w:ascii="Times New Roman" w:hAnsi="Times New Roman" w:cs="Times New Roman"/>
          <w:sz w:val="24"/>
          <w:szCs w:val="24"/>
        </w:rPr>
        <w:t>d</w:t>
      </w:r>
      <w:r w:rsidR="0070611F" w:rsidRPr="0042152F">
        <w:rPr>
          <w:rFonts w:ascii="Times New Roman" w:hAnsi="Times New Roman" w:cs="Times New Roman"/>
          <w:sz w:val="24"/>
          <w:szCs w:val="24"/>
        </w:rPr>
        <w:t xml:space="preserve"> care in their deliberations</w:t>
      </w:r>
      <w:r w:rsidR="00467888">
        <w:rPr>
          <w:rFonts w:ascii="Times New Roman" w:hAnsi="Times New Roman" w:cs="Times New Roman"/>
          <w:sz w:val="24"/>
          <w:szCs w:val="24"/>
        </w:rPr>
        <w:t>.</w:t>
      </w:r>
      <w:r w:rsidR="0070611F" w:rsidRPr="0042152F">
        <w:rPr>
          <w:rFonts w:ascii="Times New Roman" w:hAnsi="Times New Roman" w:cs="Times New Roman"/>
          <w:sz w:val="24"/>
          <w:szCs w:val="24"/>
        </w:rPr>
        <w:t xml:space="preserve"> </w:t>
      </w:r>
    </w:p>
    <w:p w14:paraId="3C81B76B" w14:textId="14F46852" w:rsidR="00C735E7" w:rsidRPr="0042152F" w:rsidRDefault="00610A25"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We now return to the facts </w:t>
      </w:r>
      <w:r w:rsidR="002B63D5" w:rsidRPr="0042152F">
        <w:rPr>
          <w:rFonts w:ascii="Times New Roman" w:hAnsi="Times New Roman" w:cs="Times New Roman"/>
          <w:sz w:val="24"/>
          <w:szCs w:val="24"/>
        </w:rPr>
        <w:t xml:space="preserve">of </w:t>
      </w:r>
      <w:r w:rsidR="00B07CE7" w:rsidRPr="0042152F">
        <w:rPr>
          <w:rFonts w:ascii="Times New Roman" w:hAnsi="Times New Roman" w:cs="Times New Roman"/>
          <w:i/>
          <w:iCs/>
          <w:sz w:val="24"/>
          <w:szCs w:val="24"/>
        </w:rPr>
        <w:t>Tornetta</w:t>
      </w:r>
      <w:r w:rsidR="001D62D5" w:rsidRPr="0042152F">
        <w:rPr>
          <w:rFonts w:ascii="Times New Roman" w:hAnsi="Times New Roman" w:cs="Times New Roman"/>
          <w:sz w:val="24"/>
          <w:szCs w:val="24"/>
        </w:rPr>
        <w:t xml:space="preserve"> </w:t>
      </w:r>
      <w:r w:rsidRPr="0042152F">
        <w:rPr>
          <w:rFonts w:ascii="Times New Roman" w:hAnsi="Times New Roman" w:cs="Times New Roman"/>
          <w:sz w:val="24"/>
          <w:szCs w:val="24"/>
        </w:rPr>
        <w:t xml:space="preserve">to show how our analytical framework would </w:t>
      </w:r>
      <w:r w:rsidR="001D62D5" w:rsidRPr="0042152F">
        <w:rPr>
          <w:rFonts w:ascii="Times New Roman" w:hAnsi="Times New Roman" w:cs="Times New Roman"/>
          <w:sz w:val="24"/>
          <w:szCs w:val="24"/>
        </w:rPr>
        <w:t xml:space="preserve">better </w:t>
      </w:r>
      <w:r w:rsidRPr="0042152F">
        <w:rPr>
          <w:rFonts w:ascii="Times New Roman" w:hAnsi="Times New Roman" w:cs="Times New Roman"/>
          <w:sz w:val="24"/>
          <w:szCs w:val="24"/>
        </w:rPr>
        <w:t xml:space="preserve">guide the court’s </w:t>
      </w:r>
      <w:r w:rsidR="005308B6" w:rsidRPr="0042152F">
        <w:rPr>
          <w:rFonts w:ascii="Times New Roman" w:hAnsi="Times New Roman" w:cs="Times New Roman"/>
          <w:sz w:val="24"/>
          <w:szCs w:val="24"/>
        </w:rPr>
        <w:t>decision-making</w:t>
      </w:r>
      <w:r w:rsidRPr="0042152F">
        <w:rPr>
          <w:rFonts w:ascii="Times New Roman" w:hAnsi="Times New Roman" w:cs="Times New Roman"/>
          <w:sz w:val="24"/>
          <w:szCs w:val="24"/>
        </w:rPr>
        <w:t xml:space="preserve"> process</w:t>
      </w:r>
      <w:r w:rsidR="002B63D5" w:rsidRPr="0042152F">
        <w:rPr>
          <w:rFonts w:ascii="Times New Roman" w:hAnsi="Times New Roman" w:cs="Times New Roman"/>
          <w:sz w:val="24"/>
          <w:szCs w:val="24"/>
        </w:rPr>
        <w:t xml:space="preserve">. </w:t>
      </w:r>
      <w:r w:rsidR="004D6FF3">
        <w:rPr>
          <w:rFonts w:ascii="Times New Roman" w:hAnsi="Times New Roman" w:cs="Times New Roman"/>
          <w:sz w:val="24"/>
          <w:szCs w:val="24"/>
        </w:rPr>
        <w:t xml:space="preserve">The first change goes to the application of </w:t>
      </w:r>
      <w:r w:rsidR="004D6FF3">
        <w:rPr>
          <w:rFonts w:ascii="Times New Roman" w:hAnsi="Times New Roman" w:cs="Times New Roman"/>
          <w:i/>
          <w:iCs/>
          <w:sz w:val="24"/>
          <w:szCs w:val="24"/>
        </w:rPr>
        <w:t>MFW.</w:t>
      </w:r>
      <w:r w:rsidR="004D6FF3">
        <w:rPr>
          <w:rFonts w:ascii="Times New Roman" w:hAnsi="Times New Roman" w:cs="Times New Roman"/>
          <w:sz w:val="24"/>
          <w:szCs w:val="24"/>
        </w:rPr>
        <w:t xml:space="preserve"> </w:t>
      </w:r>
      <w:r w:rsidRPr="0042152F">
        <w:rPr>
          <w:rFonts w:ascii="Times New Roman" w:hAnsi="Times New Roman" w:cs="Times New Roman"/>
          <w:sz w:val="24"/>
          <w:szCs w:val="24"/>
        </w:rPr>
        <w:t xml:space="preserve">Recall that the </w:t>
      </w:r>
      <w:r w:rsidR="00B75330" w:rsidRPr="0042152F">
        <w:rPr>
          <w:rFonts w:ascii="Times New Roman" w:hAnsi="Times New Roman" w:cs="Times New Roman"/>
          <w:sz w:val="24"/>
          <w:szCs w:val="24"/>
        </w:rPr>
        <w:t xml:space="preserve">compensation </w:t>
      </w:r>
      <w:r w:rsidR="00CF1B14" w:rsidRPr="0042152F">
        <w:rPr>
          <w:rFonts w:ascii="Times New Roman" w:hAnsi="Times New Roman" w:cs="Times New Roman"/>
          <w:sz w:val="24"/>
          <w:szCs w:val="24"/>
        </w:rPr>
        <w:t xml:space="preserve">committee </w:t>
      </w:r>
      <w:r w:rsidR="00B75330" w:rsidRPr="0042152F">
        <w:rPr>
          <w:rFonts w:ascii="Times New Roman" w:hAnsi="Times New Roman" w:cs="Times New Roman"/>
          <w:sz w:val="24"/>
          <w:szCs w:val="24"/>
        </w:rPr>
        <w:t xml:space="preserve">in charge of negotiating Musk’s pay </w:t>
      </w:r>
      <w:r w:rsidR="00CF1B14" w:rsidRPr="0042152F">
        <w:rPr>
          <w:rFonts w:ascii="Times New Roman" w:hAnsi="Times New Roman" w:cs="Times New Roman"/>
          <w:sz w:val="24"/>
          <w:szCs w:val="24"/>
        </w:rPr>
        <w:t xml:space="preserve">was </w:t>
      </w:r>
      <w:r w:rsidR="00B75330" w:rsidRPr="0042152F">
        <w:rPr>
          <w:rFonts w:ascii="Times New Roman" w:hAnsi="Times New Roman" w:cs="Times New Roman"/>
          <w:sz w:val="24"/>
          <w:szCs w:val="24"/>
        </w:rPr>
        <w:t>not inde</w:t>
      </w:r>
      <w:r w:rsidR="008F34A3" w:rsidRPr="0042152F">
        <w:rPr>
          <w:rFonts w:ascii="Times New Roman" w:hAnsi="Times New Roman" w:cs="Times New Roman"/>
          <w:sz w:val="24"/>
          <w:szCs w:val="24"/>
        </w:rPr>
        <w:t>pen</w:t>
      </w:r>
      <w:r w:rsidR="00B75330" w:rsidRPr="0042152F">
        <w:rPr>
          <w:rFonts w:ascii="Times New Roman" w:hAnsi="Times New Roman" w:cs="Times New Roman"/>
          <w:sz w:val="24"/>
          <w:szCs w:val="24"/>
        </w:rPr>
        <w:t>dent</w:t>
      </w:r>
      <w:r w:rsidR="008674AE" w:rsidRPr="0042152F">
        <w:rPr>
          <w:rFonts w:ascii="Times New Roman" w:hAnsi="Times New Roman" w:cs="Times New Roman"/>
          <w:sz w:val="24"/>
          <w:szCs w:val="24"/>
        </w:rPr>
        <w:t xml:space="preserve">, but the transaction was approved by the disinterested shareholders that were fully privy to </w:t>
      </w:r>
      <w:r w:rsidR="001A244A">
        <w:rPr>
          <w:rFonts w:ascii="Times New Roman" w:hAnsi="Times New Roman" w:cs="Times New Roman"/>
          <w:sz w:val="24"/>
          <w:szCs w:val="24"/>
        </w:rPr>
        <w:t>the important</w:t>
      </w:r>
      <w:r w:rsidR="008F34A3" w:rsidRPr="0042152F">
        <w:rPr>
          <w:rFonts w:ascii="Times New Roman" w:hAnsi="Times New Roman" w:cs="Times New Roman"/>
          <w:sz w:val="24"/>
          <w:szCs w:val="24"/>
        </w:rPr>
        <w:t xml:space="preserve"> </w:t>
      </w:r>
      <w:r w:rsidR="008674AE" w:rsidRPr="0042152F">
        <w:rPr>
          <w:rFonts w:ascii="Times New Roman" w:hAnsi="Times New Roman" w:cs="Times New Roman"/>
          <w:sz w:val="24"/>
          <w:szCs w:val="24"/>
        </w:rPr>
        <w:t>financial details.</w:t>
      </w:r>
      <w:r w:rsidR="00493B38" w:rsidRPr="0042152F">
        <w:rPr>
          <w:rStyle w:val="FootnoteReference"/>
          <w:rFonts w:ascii="Times New Roman" w:hAnsi="Times New Roman" w:cs="Times New Roman"/>
          <w:sz w:val="24"/>
          <w:szCs w:val="24"/>
        </w:rPr>
        <w:footnoteReference w:id="252"/>
      </w:r>
      <w:r w:rsidR="008674AE" w:rsidRPr="0042152F">
        <w:rPr>
          <w:rFonts w:ascii="Times New Roman" w:hAnsi="Times New Roman" w:cs="Times New Roman"/>
          <w:sz w:val="24"/>
          <w:szCs w:val="24"/>
        </w:rPr>
        <w:t xml:space="preserve"> </w:t>
      </w:r>
      <w:r w:rsidR="00C735E7" w:rsidRPr="0042152F">
        <w:rPr>
          <w:rFonts w:ascii="Times New Roman" w:hAnsi="Times New Roman" w:cs="Times New Roman"/>
          <w:sz w:val="24"/>
          <w:szCs w:val="24"/>
        </w:rPr>
        <w:t xml:space="preserve">Therefore, under our framework, the </w:t>
      </w:r>
      <w:r w:rsidR="001C2D12" w:rsidRPr="0042152F">
        <w:rPr>
          <w:rFonts w:ascii="Times New Roman" w:hAnsi="Times New Roman" w:cs="Times New Roman"/>
          <w:sz w:val="24"/>
          <w:szCs w:val="24"/>
        </w:rPr>
        <w:t xml:space="preserve">burden would lie with the </w:t>
      </w:r>
      <w:r w:rsidR="00C735E7" w:rsidRPr="0042152F">
        <w:rPr>
          <w:rFonts w:ascii="Times New Roman" w:hAnsi="Times New Roman" w:cs="Times New Roman"/>
          <w:sz w:val="24"/>
          <w:szCs w:val="24"/>
        </w:rPr>
        <w:t>plaintiffs to prove that the transaction was unfair to the minority shareholders.</w:t>
      </w:r>
    </w:p>
    <w:p w14:paraId="1A8E9924" w14:textId="6405C347" w:rsidR="004D6FF3" w:rsidRDefault="004D6FF3"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Now c</w:t>
      </w:r>
      <w:r w:rsidRPr="0042152F">
        <w:rPr>
          <w:rFonts w:ascii="Times New Roman" w:hAnsi="Times New Roman" w:cs="Times New Roman"/>
          <w:sz w:val="24"/>
          <w:szCs w:val="24"/>
        </w:rPr>
        <w:t xml:space="preserve">onsider how Musk’s compensation package would have fared under our modified entire fairness framework. </w:t>
      </w:r>
      <w:r>
        <w:rPr>
          <w:rFonts w:ascii="Times New Roman" w:hAnsi="Times New Roman" w:cs="Times New Roman"/>
          <w:sz w:val="24"/>
          <w:szCs w:val="24"/>
        </w:rPr>
        <w:t xml:space="preserve">As for process, </w:t>
      </w:r>
      <w:r w:rsidRPr="0042152F">
        <w:rPr>
          <w:rFonts w:ascii="Times New Roman" w:hAnsi="Times New Roman" w:cs="Times New Roman"/>
          <w:sz w:val="24"/>
          <w:szCs w:val="24"/>
        </w:rPr>
        <w:t xml:space="preserve">the lack of an adversarial </w:t>
      </w:r>
      <w:r>
        <w:rPr>
          <w:rFonts w:ascii="Times New Roman" w:hAnsi="Times New Roman" w:cs="Times New Roman"/>
          <w:sz w:val="24"/>
          <w:szCs w:val="24"/>
        </w:rPr>
        <w:t>negotiation</w:t>
      </w:r>
      <w:r w:rsidRPr="0042152F">
        <w:rPr>
          <w:rFonts w:ascii="Times New Roman" w:hAnsi="Times New Roman" w:cs="Times New Roman"/>
          <w:sz w:val="24"/>
          <w:szCs w:val="24"/>
        </w:rPr>
        <w:t xml:space="preserve"> would not be dispositive. Instead, the court would ask whether the negotiating parties exercised care—</w:t>
      </w:r>
      <w:r w:rsidRPr="0042152F">
        <w:rPr>
          <w:rFonts w:ascii="Times New Roman" w:hAnsi="Times New Roman" w:cs="Times New Roman"/>
          <w:i/>
          <w:iCs/>
          <w:sz w:val="24"/>
          <w:szCs w:val="24"/>
        </w:rPr>
        <w:t>i.e.,</w:t>
      </w:r>
      <w:r w:rsidRPr="0042152F">
        <w:rPr>
          <w:rFonts w:ascii="Times New Roman" w:hAnsi="Times New Roman" w:cs="Times New Roman"/>
          <w:sz w:val="24"/>
          <w:szCs w:val="24"/>
        </w:rPr>
        <w:t xml:space="preserve"> were they informed about the relevant details and did they think them through? The court would also look for other evidence that suggested a fair and robust process, including analyzing the timing and initiation of the transaction.</w:t>
      </w:r>
      <w:r w:rsidRPr="0042152F">
        <w:rPr>
          <w:rStyle w:val="FootnoteReference"/>
          <w:rFonts w:ascii="Times New Roman" w:hAnsi="Times New Roman" w:cs="Times New Roman"/>
          <w:sz w:val="24"/>
          <w:szCs w:val="24"/>
        </w:rPr>
        <w:footnoteReference w:id="253"/>
      </w:r>
      <w:r w:rsidRPr="0042152F">
        <w:rPr>
          <w:rFonts w:ascii="Times New Roman" w:hAnsi="Times New Roman" w:cs="Times New Roman"/>
          <w:sz w:val="24"/>
          <w:szCs w:val="24"/>
        </w:rPr>
        <w:t xml:space="preserve"> Importantly, the court would refrain from judging the process based on the price that was achieved, which is a separate inquiry. </w:t>
      </w:r>
    </w:p>
    <w:p w14:paraId="19DC3C97" w14:textId="538F20E5" w:rsidR="004D6FF3" w:rsidRDefault="004D6FF3"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Applying this modified standard to </w:t>
      </w:r>
      <w:r>
        <w:rPr>
          <w:rFonts w:ascii="Times New Roman" w:hAnsi="Times New Roman" w:cs="Times New Roman"/>
          <w:i/>
          <w:iCs/>
          <w:sz w:val="24"/>
          <w:szCs w:val="24"/>
        </w:rPr>
        <w:t xml:space="preserve">Tornetta </w:t>
      </w:r>
      <w:r>
        <w:rPr>
          <w:rFonts w:ascii="Times New Roman" w:hAnsi="Times New Roman" w:cs="Times New Roman"/>
          <w:sz w:val="24"/>
          <w:szCs w:val="24"/>
        </w:rPr>
        <w:t xml:space="preserve">leads to a different result. Of course, the process </w:t>
      </w:r>
      <w:r w:rsidRPr="0042152F">
        <w:rPr>
          <w:rFonts w:ascii="Times New Roman" w:hAnsi="Times New Roman" w:cs="Times New Roman"/>
          <w:sz w:val="24"/>
          <w:szCs w:val="24"/>
        </w:rPr>
        <w:t xml:space="preserve">was far from perfect: The </w:t>
      </w:r>
      <w:r w:rsidR="001051D1">
        <w:rPr>
          <w:rFonts w:ascii="Times New Roman" w:hAnsi="Times New Roman" w:cs="Times New Roman"/>
          <w:sz w:val="24"/>
          <w:szCs w:val="24"/>
        </w:rPr>
        <w:t xml:space="preserve">court found that many of the directors on the </w:t>
      </w:r>
      <w:r w:rsidRPr="0042152F">
        <w:rPr>
          <w:rFonts w:ascii="Times New Roman" w:hAnsi="Times New Roman" w:cs="Times New Roman"/>
          <w:sz w:val="24"/>
          <w:szCs w:val="24"/>
        </w:rPr>
        <w:t>special negotiating committee</w:t>
      </w:r>
      <w:r w:rsidR="001051D1">
        <w:rPr>
          <w:rFonts w:ascii="Times New Roman" w:hAnsi="Times New Roman" w:cs="Times New Roman"/>
          <w:sz w:val="24"/>
          <w:szCs w:val="24"/>
        </w:rPr>
        <w:t xml:space="preserve"> </w:t>
      </w:r>
      <w:r w:rsidRPr="0042152F">
        <w:rPr>
          <w:rFonts w:ascii="Times New Roman" w:hAnsi="Times New Roman" w:cs="Times New Roman"/>
          <w:sz w:val="24"/>
          <w:szCs w:val="24"/>
        </w:rPr>
        <w:t>had ties to Musk</w:t>
      </w:r>
      <w:r w:rsidR="00BE7655">
        <w:rPr>
          <w:rFonts w:ascii="Times New Roman" w:hAnsi="Times New Roman" w:cs="Times New Roman"/>
          <w:sz w:val="24"/>
          <w:szCs w:val="24"/>
        </w:rPr>
        <w:t xml:space="preserve">; that </w:t>
      </w:r>
      <w:r w:rsidRPr="0042152F">
        <w:rPr>
          <w:rFonts w:ascii="Times New Roman" w:hAnsi="Times New Roman" w:cs="Times New Roman"/>
          <w:sz w:val="24"/>
          <w:szCs w:val="24"/>
        </w:rPr>
        <w:t>Musk</w:t>
      </w:r>
      <w:r>
        <w:rPr>
          <w:rFonts w:ascii="Times New Roman" w:hAnsi="Times New Roman" w:cs="Times New Roman"/>
          <w:sz w:val="24"/>
          <w:szCs w:val="24"/>
        </w:rPr>
        <w:t xml:space="preserve"> </w:t>
      </w:r>
      <w:r w:rsidRPr="0042152F">
        <w:rPr>
          <w:rFonts w:ascii="Times New Roman" w:hAnsi="Times New Roman" w:cs="Times New Roman"/>
          <w:sz w:val="24"/>
          <w:szCs w:val="24"/>
        </w:rPr>
        <w:t>dictated the timing of the negotiations</w:t>
      </w:r>
      <w:r w:rsidR="00BE7655">
        <w:rPr>
          <w:rFonts w:ascii="Times New Roman" w:hAnsi="Times New Roman" w:cs="Times New Roman"/>
          <w:sz w:val="24"/>
          <w:szCs w:val="24"/>
        </w:rPr>
        <w:t>;</w:t>
      </w:r>
      <w:r w:rsidRPr="0042152F">
        <w:rPr>
          <w:rFonts w:ascii="Times New Roman" w:hAnsi="Times New Roman" w:cs="Times New Roman"/>
          <w:sz w:val="24"/>
          <w:szCs w:val="24"/>
        </w:rPr>
        <w:t xml:space="preserve"> and </w:t>
      </w:r>
      <w:r w:rsidR="00BE7655">
        <w:rPr>
          <w:rFonts w:ascii="Times New Roman" w:hAnsi="Times New Roman" w:cs="Times New Roman"/>
          <w:sz w:val="24"/>
          <w:szCs w:val="24"/>
        </w:rPr>
        <w:t xml:space="preserve">that </w:t>
      </w:r>
      <w:r w:rsidRPr="0042152F">
        <w:rPr>
          <w:rFonts w:ascii="Times New Roman" w:hAnsi="Times New Roman" w:cs="Times New Roman"/>
          <w:sz w:val="24"/>
          <w:szCs w:val="24"/>
        </w:rPr>
        <w:t>the board did not appear to consider alternatives. This evidence was enough to establish that the first cleansing mechanism—an independent special committee negotiation—failed. But should this evidence also be enough to convince the court that the transaction was unfair to the minority shareholders? Recall that the committee was informed about the package’s terms and spent many meetings evaluating them, with the help of outside advisors. The transaction’s timing was initiated by the board, who stood by their conclusion that the package was the best way to motivate and retain Musk.</w:t>
      </w:r>
      <w:r>
        <w:rPr>
          <w:rStyle w:val="FootnoteReference"/>
          <w:rFonts w:ascii="Times New Roman" w:hAnsi="Times New Roman" w:cs="Times New Roman"/>
          <w:sz w:val="24"/>
          <w:szCs w:val="24"/>
        </w:rPr>
        <w:footnoteReference w:id="254"/>
      </w:r>
      <w:r w:rsidRPr="0042152F">
        <w:rPr>
          <w:rFonts w:ascii="Times New Roman" w:hAnsi="Times New Roman" w:cs="Times New Roman"/>
          <w:sz w:val="24"/>
          <w:szCs w:val="24"/>
        </w:rPr>
        <w:t xml:space="preserve"> These facts suggest that the board did not act with gross negligence in approving the transaction. Moreover, the lack of adversarial negotiations should have been irrelevant to the court’s analysis; indeed, the collaborative negotiation approach may have allowed the board to secure more effort from Musk for the same price. </w:t>
      </w:r>
    </w:p>
    <w:p w14:paraId="0004008B" w14:textId="07DD4C47" w:rsidR="004D6FF3" w:rsidRPr="0042152F" w:rsidRDefault="004D6FF3"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lastRenderedPageBreak/>
        <w:t xml:space="preserve">Moreover, our </w:t>
      </w:r>
      <w:r w:rsidRPr="0042152F">
        <w:rPr>
          <w:rFonts w:ascii="Times New Roman" w:hAnsi="Times New Roman" w:cs="Times New Roman"/>
          <w:sz w:val="24"/>
          <w:szCs w:val="24"/>
          <w:lang w:bidi="he-IL"/>
        </w:rPr>
        <w:t>proposed regime would encourage Tesla to provide investors with disclosure about the independence of the compensation committee and its process.</w:t>
      </w:r>
      <w:r w:rsidRPr="0042152F">
        <w:rPr>
          <w:rStyle w:val="FootnoteReference"/>
          <w:rFonts w:ascii="Times New Roman" w:hAnsi="Times New Roman" w:cs="Times New Roman"/>
          <w:sz w:val="24"/>
          <w:szCs w:val="24"/>
          <w:lang w:bidi="he-IL"/>
        </w:rPr>
        <w:footnoteReference w:id="255"/>
      </w:r>
      <w:r w:rsidRPr="0042152F">
        <w:rPr>
          <w:rFonts w:ascii="Times New Roman" w:hAnsi="Times New Roman" w:cs="Times New Roman"/>
          <w:sz w:val="24"/>
          <w:szCs w:val="24"/>
          <w:lang w:bidi="he-IL"/>
        </w:rPr>
        <w:t xml:space="preserve"> </w:t>
      </w:r>
      <w:r w:rsidRPr="0042152F">
        <w:rPr>
          <w:rFonts w:ascii="Times New Roman" w:hAnsi="Times New Roman" w:cs="Times New Roman"/>
          <w:sz w:val="24"/>
          <w:szCs w:val="24"/>
        </w:rPr>
        <w:t xml:space="preserve">With our </w:t>
      </w:r>
      <w:r w:rsidRPr="0042152F">
        <w:rPr>
          <w:rFonts w:ascii="Times New Roman" w:hAnsi="Times New Roman" w:cs="Times New Roman"/>
          <w:i/>
          <w:iCs/>
          <w:sz w:val="24"/>
          <w:szCs w:val="24"/>
        </w:rPr>
        <w:t>Corwin</w:t>
      </w:r>
      <w:r w:rsidRPr="0042152F">
        <w:rPr>
          <w:rFonts w:ascii="Times New Roman" w:hAnsi="Times New Roman" w:cs="Times New Roman"/>
          <w:sz w:val="24"/>
          <w:szCs w:val="24"/>
        </w:rPr>
        <w:t>-style rule in place, Tesla would have wanted to disclose all information, including flaws, about the special committee process</w:t>
      </w:r>
      <w:r>
        <w:rPr>
          <w:rFonts w:ascii="Times New Roman" w:hAnsi="Times New Roman" w:cs="Times New Roman"/>
          <w:sz w:val="24"/>
          <w:szCs w:val="24"/>
        </w:rPr>
        <w:t xml:space="preserve">, as </w:t>
      </w:r>
      <w:r w:rsidRPr="0042152F">
        <w:rPr>
          <w:rFonts w:ascii="Times New Roman" w:hAnsi="Times New Roman" w:cs="Times New Roman"/>
          <w:sz w:val="24"/>
          <w:szCs w:val="24"/>
        </w:rPr>
        <w:t xml:space="preserve">doing so would have protected </w:t>
      </w:r>
      <w:r w:rsidR="004B5E50">
        <w:rPr>
          <w:rFonts w:ascii="Times New Roman" w:hAnsi="Times New Roman" w:cs="Times New Roman"/>
          <w:sz w:val="24"/>
          <w:szCs w:val="24"/>
        </w:rPr>
        <w:t xml:space="preserve">it </w:t>
      </w:r>
      <w:r w:rsidRPr="0042152F">
        <w:rPr>
          <w:rFonts w:ascii="Times New Roman" w:hAnsi="Times New Roman" w:cs="Times New Roman"/>
          <w:sz w:val="24"/>
          <w:szCs w:val="24"/>
        </w:rPr>
        <w:t xml:space="preserve">from post-closing challenges about the committee’s effectiveness. Even better, Tesla might </w:t>
      </w:r>
      <w:r w:rsidR="004B5E50">
        <w:rPr>
          <w:rFonts w:ascii="Times New Roman" w:hAnsi="Times New Roman" w:cs="Times New Roman"/>
          <w:sz w:val="24"/>
          <w:szCs w:val="24"/>
        </w:rPr>
        <w:t>have been</w:t>
      </w:r>
      <w:r w:rsidRPr="0042152F">
        <w:rPr>
          <w:rFonts w:ascii="Times New Roman" w:hAnsi="Times New Roman" w:cs="Times New Roman"/>
          <w:sz w:val="24"/>
          <w:szCs w:val="24"/>
        </w:rPr>
        <w:t xml:space="preserve"> encouraged to improve the special committee process—doing so would not only give the s</w:t>
      </w:r>
      <w:r w:rsidR="004B5E50">
        <w:rPr>
          <w:rFonts w:ascii="Times New Roman" w:hAnsi="Times New Roman" w:cs="Times New Roman"/>
          <w:sz w:val="24"/>
          <w:szCs w:val="24"/>
        </w:rPr>
        <w:t>p</w:t>
      </w:r>
      <w:r w:rsidRPr="0042152F">
        <w:rPr>
          <w:rFonts w:ascii="Times New Roman" w:hAnsi="Times New Roman" w:cs="Times New Roman"/>
          <w:sz w:val="24"/>
          <w:szCs w:val="24"/>
        </w:rPr>
        <w:t>ecial committee negotiation cleansing effect but would also avoid the need to disclose deficiencies to the shareholders. In either case, such disclosure would prompt plaintiffs to file any suit challenging the committee quickly, seeking an injunction that would allow the committee to rectify the flaws.</w:t>
      </w:r>
    </w:p>
    <w:p w14:paraId="7B2FFFA2" w14:textId="6CAB05D4" w:rsidR="00CD607A" w:rsidRPr="0042152F" w:rsidRDefault="004B5E50" w:rsidP="00B5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Finally, a</w:t>
      </w:r>
      <w:r w:rsidR="004D6FF3">
        <w:rPr>
          <w:rFonts w:ascii="Times New Roman" w:hAnsi="Times New Roman" w:cs="Times New Roman"/>
          <w:sz w:val="24"/>
          <w:szCs w:val="24"/>
        </w:rPr>
        <w:t xml:space="preserve">s for price, recall that under our modified framework, </w:t>
      </w:r>
      <w:r w:rsidR="005C5108" w:rsidRPr="0042152F">
        <w:rPr>
          <w:rFonts w:ascii="Times New Roman" w:hAnsi="Times New Roman" w:cs="Times New Roman"/>
          <w:sz w:val="24"/>
          <w:szCs w:val="24"/>
        </w:rPr>
        <w:t xml:space="preserve">the court </w:t>
      </w:r>
      <w:r>
        <w:rPr>
          <w:rFonts w:ascii="Times New Roman" w:hAnsi="Times New Roman" w:cs="Times New Roman"/>
          <w:sz w:val="24"/>
          <w:szCs w:val="24"/>
        </w:rPr>
        <w:t xml:space="preserve">will </w:t>
      </w:r>
      <w:r w:rsidR="005C5108" w:rsidRPr="0042152F">
        <w:rPr>
          <w:rFonts w:ascii="Times New Roman" w:hAnsi="Times New Roman" w:cs="Times New Roman"/>
          <w:sz w:val="24"/>
          <w:szCs w:val="24"/>
        </w:rPr>
        <w:t>give little evidentiary weight to competitive benchmarks or other evidence of average values in light of the shareholder vote</w:t>
      </w:r>
      <w:r w:rsidR="002C4892" w:rsidRPr="0042152F">
        <w:rPr>
          <w:rFonts w:ascii="Times New Roman" w:hAnsi="Times New Roman" w:cs="Times New Roman"/>
          <w:sz w:val="24"/>
          <w:szCs w:val="24"/>
        </w:rPr>
        <w:t>, which</w:t>
      </w:r>
      <w:r w:rsidR="005C5108" w:rsidRPr="0042152F">
        <w:rPr>
          <w:rFonts w:ascii="Times New Roman" w:hAnsi="Times New Roman" w:cs="Times New Roman"/>
          <w:sz w:val="24"/>
          <w:szCs w:val="24"/>
        </w:rPr>
        <w:t xml:space="preserve"> serve</w:t>
      </w:r>
      <w:r w:rsidR="001A244A">
        <w:rPr>
          <w:rFonts w:ascii="Times New Roman" w:hAnsi="Times New Roman" w:cs="Times New Roman"/>
          <w:sz w:val="24"/>
          <w:szCs w:val="24"/>
        </w:rPr>
        <w:t>s</w:t>
      </w:r>
      <w:r w:rsidR="005C5108" w:rsidRPr="0042152F">
        <w:rPr>
          <w:rFonts w:ascii="Times New Roman" w:hAnsi="Times New Roman" w:cs="Times New Roman"/>
          <w:sz w:val="24"/>
          <w:szCs w:val="24"/>
        </w:rPr>
        <w:t xml:space="preserve"> as a powerful referendum on price.</w:t>
      </w:r>
      <w:r w:rsidR="002C4892" w:rsidRPr="0042152F">
        <w:rPr>
          <w:rFonts w:ascii="Times New Roman" w:hAnsi="Times New Roman" w:cs="Times New Roman"/>
          <w:sz w:val="24"/>
          <w:szCs w:val="24"/>
        </w:rPr>
        <w:t xml:space="preserve"> </w:t>
      </w:r>
      <w:r>
        <w:rPr>
          <w:rFonts w:ascii="Times New Roman" w:hAnsi="Times New Roman" w:cs="Times New Roman"/>
          <w:sz w:val="24"/>
          <w:szCs w:val="24"/>
        </w:rPr>
        <w:t xml:space="preserve">Therefore, the court might have concluded that the </w:t>
      </w:r>
      <w:r w:rsidR="00CD607A" w:rsidRPr="0042152F">
        <w:rPr>
          <w:rFonts w:ascii="Times New Roman" w:hAnsi="Times New Roman" w:cs="Times New Roman"/>
          <w:sz w:val="24"/>
          <w:szCs w:val="24"/>
        </w:rPr>
        <w:t xml:space="preserve">shareholder referendum on vision after full disclosure of the financial terms of the transaction would have been a strong indication of the fairness of the price. </w:t>
      </w:r>
    </w:p>
    <w:p w14:paraId="0BA0C572" w14:textId="132423C6" w:rsidR="00D40319" w:rsidRPr="0042152F" w:rsidRDefault="009417C0" w:rsidP="002E3243">
      <w:pPr>
        <w:spacing w:after="12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As this hypothetical analysis reveals, our proposed framework drastically simplifies entire fairness review for courts. </w:t>
      </w:r>
      <w:r w:rsidR="000A7E59" w:rsidRPr="0042152F">
        <w:rPr>
          <w:rFonts w:ascii="Times New Roman" w:hAnsi="Times New Roman" w:cs="Times New Roman"/>
          <w:sz w:val="24"/>
          <w:szCs w:val="24"/>
        </w:rPr>
        <w:t>In particular,</w:t>
      </w:r>
      <w:r w:rsidRPr="0042152F">
        <w:rPr>
          <w:rFonts w:ascii="Times New Roman" w:hAnsi="Times New Roman" w:cs="Times New Roman"/>
          <w:sz w:val="24"/>
          <w:szCs w:val="24"/>
        </w:rPr>
        <w:t xml:space="preserve"> our</w:t>
      </w:r>
      <w:r w:rsidR="000A7E59" w:rsidRPr="0042152F">
        <w:rPr>
          <w:rFonts w:ascii="Times New Roman" w:hAnsi="Times New Roman" w:cs="Times New Roman"/>
          <w:sz w:val="24"/>
          <w:szCs w:val="24"/>
        </w:rPr>
        <w:t xml:space="preserve"> alterations to the</w:t>
      </w:r>
      <w:r w:rsidRPr="0042152F">
        <w:rPr>
          <w:rFonts w:ascii="Times New Roman" w:hAnsi="Times New Roman" w:cs="Times New Roman"/>
          <w:sz w:val="24"/>
          <w:szCs w:val="24"/>
        </w:rPr>
        <w:t xml:space="preserve"> </w:t>
      </w:r>
      <w:r w:rsidRPr="0042152F">
        <w:rPr>
          <w:rFonts w:ascii="Times New Roman" w:hAnsi="Times New Roman" w:cs="Times New Roman"/>
          <w:i/>
          <w:iCs/>
          <w:sz w:val="24"/>
          <w:szCs w:val="24"/>
        </w:rPr>
        <w:t>MFW</w:t>
      </w:r>
      <w:r w:rsidR="000A7E59" w:rsidRPr="0042152F">
        <w:rPr>
          <w:rFonts w:ascii="Times New Roman" w:hAnsi="Times New Roman" w:cs="Times New Roman"/>
          <w:i/>
          <w:iCs/>
          <w:sz w:val="24"/>
          <w:szCs w:val="24"/>
        </w:rPr>
        <w:t xml:space="preserve"> </w:t>
      </w:r>
      <w:r w:rsidR="000A7E59" w:rsidRPr="0042152F">
        <w:rPr>
          <w:rFonts w:ascii="Times New Roman" w:hAnsi="Times New Roman" w:cs="Times New Roman"/>
          <w:sz w:val="24"/>
          <w:szCs w:val="24"/>
        </w:rPr>
        <w:t>framework</w:t>
      </w:r>
      <w:r w:rsidRPr="0042152F">
        <w:rPr>
          <w:rFonts w:ascii="Times New Roman" w:hAnsi="Times New Roman" w:cs="Times New Roman"/>
          <w:i/>
          <w:iCs/>
          <w:sz w:val="24"/>
          <w:szCs w:val="24"/>
        </w:rPr>
        <w:t xml:space="preserve"> </w:t>
      </w:r>
      <w:r w:rsidRPr="0042152F">
        <w:rPr>
          <w:rFonts w:ascii="Times New Roman" w:hAnsi="Times New Roman" w:cs="Times New Roman"/>
          <w:sz w:val="24"/>
          <w:szCs w:val="24"/>
        </w:rPr>
        <w:t xml:space="preserve">respect the independent nature of each cleansing mechanism and ensure that judicial review of </w:t>
      </w:r>
      <w:r w:rsidR="001E753E" w:rsidRPr="0042152F">
        <w:rPr>
          <w:rFonts w:ascii="Times New Roman" w:hAnsi="Times New Roman" w:cs="Times New Roman"/>
          <w:sz w:val="24"/>
          <w:szCs w:val="24"/>
        </w:rPr>
        <w:t>visionary controller transactions</w:t>
      </w:r>
      <w:r w:rsidRPr="0042152F">
        <w:rPr>
          <w:rFonts w:ascii="Times New Roman" w:hAnsi="Times New Roman" w:cs="Times New Roman"/>
          <w:sz w:val="24"/>
          <w:szCs w:val="24"/>
        </w:rPr>
        <w:t xml:space="preserve"> will only occur when </w:t>
      </w:r>
      <w:r w:rsidR="000A7E59" w:rsidRPr="0042152F">
        <w:rPr>
          <w:rFonts w:ascii="Times New Roman" w:hAnsi="Times New Roman" w:cs="Times New Roman"/>
          <w:sz w:val="24"/>
          <w:szCs w:val="24"/>
        </w:rPr>
        <w:t>necessary</w:t>
      </w:r>
      <w:r w:rsidRPr="0042152F">
        <w:rPr>
          <w:rFonts w:ascii="Times New Roman" w:hAnsi="Times New Roman" w:cs="Times New Roman"/>
          <w:sz w:val="24"/>
          <w:szCs w:val="24"/>
        </w:rPr>
        <w:t>. Moreover, our</w:t>
      </w:r>
      <w:r w:rsidR="000A7E59" w:rsidRPr="0042152F">
        <w:rPr>
          <w:rFonts w:ascii="Times New Roman" w:hAnsi="Times New Roman" w:cs="Times New Roman"/>
          <w:sz w:val="24"/>
          <w:szCs w:val="24"/>
        </w:rPr>
        <w:t xml:space="preserve"> framework better </w:t>
      </w:r>
      <w:r w:rsidR="007A45D9" w:rsidRPr="0042152F">
        <w:rPr>
          <w:rFonts w:ascii="Times New Roman" w:hAnsi="Times New Roman" w:cs="Times New Roman"/>
          <w:sz w:val="24"/>
          <w:szCs w:val="24"/>
        </w:rPr>
        <w:t>guide</w:t>
      </w:r>
      <w:r w:rsidR="000A7E59" w:rsidRPr="0042152F">
        <w:rPr>
          <w:rFonts w:ascii="Times New Roman" w:hAnsi="Times New Roman" w:cs="Times New Roman"/>
          <w:sz w:val="24"/>
          <w:szCs w:val="24"/>
        </w:rPr>
        <w:t>s</w:t>
      </w:r>
      <w:r w:rsidR="007A45D9" w:rsidRPr="0042152F">
        <w:rPr>
          <w:rFonts w:ascii="Times New Roman" w:hAnsi="Times New Roman" w:cs="Times New Roman"/>
          <w:sz w:val="24"/>
          <w:szCs w:val="24"/>
        </w:rPr>
        <w:t xml:space="preserve"> the court’s </w:t>
      </w:r>
      <w:r w:rsidR="001E753E" w:rsidRPr="0042152F">
        <w:rPr>
          <w:rFonts w:ascii="Times New Roman" w:hAnsi="Times New Roman" w:cs="Times New Roman"/>
          <w:sz w:val="24"/>
          <w:szCs w:val="24"/>
        </w:rPr>
        <w:t>review</w:t>
      </w:r>
      <w:r w:rsidR="000A7E59" w:rsidRPr="0042152F">
        <w:rPr>
          <w:rFonts w:ascii="Times New Roman" w:hAnsi="Times New Roman" w:cs="Times New Roman"/>
          <w:sz w:val="24"/>
          <w:szCs w:val="24"/>
        </w:rPr>
        <w:t xml:space="preserve"> of transactions in light of the difficulties they face in valuing vision. All in all, our proposed framework would </w:t>
      </w:r>
      <w:r w:rsidR="006356E6" w:rsidRPr="0042152F">
        <w:rPr>
          <w:rFonts w:ascii="Times New Roman" w:hAnsi="Times New Roman" w:cs="Times New Roman"/>
          <w:sz w:val="24"/>
          <w:szCs w:val="24"/>
        </w:rPr>
        <w:t>advance two of</w:t>
      </w:r>
      <w:r w:rsidR="000A7E59" w:rsidRPr="0042152F">
        <w:rPr>
          <w:rFonts w:ascii="Times New Roman" w:hAnsi="Times New Roman" w:cs="Times New Roman"/>
          <w:sz w:val="24"/>
          <w:szCs w:val="24"/>
        </w:rPr>
        <w:t xml:space="preserve"> Delaware’s chief goals: protecting minority shareholders from controlling shareholder self-dealing and also supporting visionary entrepreneurs who use the corporate form to execute visionary ideas. </w:t>
      </w:r>
    </w:p>
    <w:p w14:paraId="75F987F1" w14:textId="37DC97FD" w:rsidR="00F64FD9" w:rsidRPr="0042152F" w:rsidRDefault="00007CA3" w:rsidP="00B54C7C">
      <w:pPr>
        <w:pStyle w:val="Heading1"/>
        <w:spacing w:before="0" w:after="0"/>
      </w:pPr>
      <w:bookmarkStart w:id="34" w:name="_Toc181789848"/>
      <w:r w:rsidRPr="0042152F">
        <w:t>Conclusion</w:t>
      </w:r>
      <w:bookmarkEnd w:id="34"/>
    </w:p>
    <w:p w14:paraId="68220A62" w14:textId="27C7DC22" w:rsidR="001A433C" w:rsidRPr="0042152F" w:rsidRDefault="00E6079F"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Using</w:t>
      </w:r>
      <w:r w:rsidR="001A433C" w:rsidRPr="0042152F">
        <w:rPr>
          <w:rFonts w:ascii="Times New Roman" w:hAnsi="Times New Roman" w:cs="Times New Roman"/>
          <w:sz w:val="24"/>
          <w:szCs w:val="24"/>
        </w:rPr>
        <w:t xml:space="preserve"> litigation over</w:t>
      </w:r>
      <w:r w:rsidRPr="0042152F">
        <w:rPr>
          <w:rFonts w:ascii="Times New Roman" w:hAnsi="Times New Roman" w:cs="Times New Roman"/>
          <w:sz w:val="24"/>
          <w:szCs w:val="24"/>
        </w:rPr>
        <w:t xml:space="preserve"> Elon Musk’s $55.8 billion compensation package as a case study, we </w:t>
      </w:r>
      <w:r w:rsidR="001A433C" w:rsidRPr="0042152F">
        <w:rPr>
          <w:rFonts w:ascii="Times New Roman" w:hAnsi="Times New Roman" w:cs="Times New Roman"/>
          <w:sz w:val="24"/>
          <w:szCs w:val="24"/>
        </w:rPr>
        <w:t xml:space="preserve">reveal </w:t>
      </w:r>
      <w:r w:rsidRPr="0042152F">
        <w:rPr>
          <w:rFonts w:ascii="Times New Roman" w:hAnsi="Times New Roman" w:cs="Times New Roman"/>
          <w:sz w:val="24"/>
          <w:szCs w:val="24"/>
        </w:rPr>
        <w:t xml:space="preserve">the challenges courts face when evaluating the fairness of </w:t>
      </w:r>
      <w:r w:rsidR="00C449BD">
        <w:rPr>
          <w:rFonts w:ascii="Times New Roman" w:hAnsi="Times New Roman" w:cs="Times New Roman"/>
          <w:sz w:val="24"/>
          <w:szCs w:val="24"/>
        </w:rPr>
        <w:t>controller transactions</w:t>
      </w:r>
      <w:r w:rsidRPr="0042152F">
        <w:rPr>
          <w:rFonts w:ascii="Times New Roman" w:hAnsi="Times New Roman" w:cs="Times New Roman"/>
          <w:sz w:val="24"/>
          <w:szCs w:val="24"/>
        </w:rPr>
        <w:t xml:space="preserve"> </w:t>
      </w:r>
      <w:r w:rsidR="001A433C" w:rsidRPr="0042152F">
        <w:rPr>
          <w:rFonts w:ascii="Times New Roman" w:hAnsi="Times New Roman" w:cs="Times New Roman"/>
          <w:sz w:val="24"/>
          <w:szCs w:val="24"/>
        </w:rPr>
        <w:t>that involve</w:t>
      </w:r>
      <w:r w:rsidRPr="0042152F">
        <w:rPr>
          <w:rFonts w:ascii="Times New Roman" w:hAnsi="Times New Roman" w:cs="Times New Roman"/>
          <w:sz w:val="24"/>
          <w:szCs w:val="24"/>
        </w:rPr>
        <w:t xml:space="preserve"> an entrepreneur</w:t>
      </w:r>
      <w:r w:rsidR="001A433C" w:rsidRPr="0042152F">
        <w:rPr>
          <w:rFonts w:ascii="Times New Roman" w:hAnsi="Times New Roman" w:cs="Times New Roman"/>
          <w:sz w:val="24"/>
          <w:szCs w:val="24"/>
        </w:rPr>
        <w:t>’</w:t>
      </w:r>
      <w:r w:rsidRPr="0042152F">
        <w:rPr>
          <w:rFonts w:ascii="Times New Roman" w:hAnsi="Times New Roman" w:cs="Times New Roman"/>
          <w:sz w:val="24"/>
          <w:szCs w:val="24"/>
        </w:rPr>
        <w:t xml:space="preserve">s idiosyncratic vision. We argue that traditional valuation methods </w:t>
      </w:r>
      <w:r w:rsidR="00223B97">
        <w:rPr>
          <w:rFonts w:ascii="Times New Roman" w:hAnsi="Times New Roman" w:cs="Times New Roman"/>
          <w:sz w:val="24"/>
          <w:szCs w:val="24"/>
        </w:rPr>
        <w:t>cannot accurately estimate</w:t>
      </w:r>
      <w:r w:rsidRPr="0042152F">
        <w:rPr>
          <w:rFonts w:ascii="Times New Roman" w:hAnsi="Times New Roman" w:cs="Times New Roman"/>
          <w:sz w:val="24"/>
          <w:szCs w:val="24"/>
        </w:rPr>
        <w:t xml:space="preserve"> the value of</w:t>
      </w:r>
      <w:r w:rsidR="001A433C" w:rsidRPr="0042152F">
        <w:rPr>
          <w:rFonts w:ascii="Times New Roman" w:hAnsi="Times New Roman" w:cs="Times New Roman"/>
          <w:sz w:val="24"/>
          <w:szCs w:val="24"/>
        </w:rPr>
        <w:t xml:space="preserve"> vision</w:t>
      </w:r>
      <w:r w:rsidRPr="0042152F">
        <w:rPr>
          <w:rFonts w:ascii="Times New Roman" w:hAnsi="Times New Roman" w:cs="Times New Roman"/>
          <w:sz w:val="24"/>
          <w:szCs w:val="24"/>
        </w:rPr>
        <w:t>, as they rely heavily on common market practices and observable metrics that fail to capture the potential impact of innovative ideas.</w:t>
      </w:r>
      <w:r w:rsidR="00C449BD">
        <w:rPr>
          <w:rFonts w:ascii="Times New Roman" w:hAnsi="Times New Roman" w:cs="Times New Roman"/>
          <w:sz w:val="24"/>
          <w:szCs w:val="24"/>
        </w:rPr>
        <w:t xml:space="preserve"> </w:t>
      </w:r>
      <w:r w:rsidR="00223B97">
        <w:rPr>
          <w:rFonts w:ascii="Times New Roman" w:hAnsi="Times New Roman" w:cs="Times New Roman"/>
          <w:sz w:val="24"/>
          <w:szCs w:val="24"/>
        </w:rPr>
        <w:t xml:space="preserve">And this inability </w:t>
      </w:r>
      <w:r w:rsidR="00223B97">
        <w:rPr>
          <w:rFonts w:ascii="Times New Roman" w:hAnsi="Times New Roman" w:cs="Times New Roman"/>
          <w:sz w:val="24"/>
          <w:szCs w:val="24"/>
        </w:rPr>
        <w:lastRenderedPageBreak/>
        <w:t xml:space="preserve">to </w:t>
      </w:r>
      <w:r w:rsidR="00C449BD">
        <w:rPr>
          <w:rFonts w:ascii="Times New Roman" w:hAnsi="Times New Roman" w:cs="Times New Roman"/>
          <w:sz w:val="24"/>
          <w:szCs w:val="24"/>
        </w:rPr>
        <w:t>establish</w:t>
      </w:r>
      <w:r w:rsidR="00C449BD" w:rsidRPr="0042152F">
        <w:rPr>
          <w:rFonts w:ascii="Times New Roman" w:hAnsi="Times New Roman" w:cs="Times New Roman"/>
          <w:sz w:val="24"/>
          <w:szCs w:val="24"/>
        </w:rPr>
        <w:t xml:space="preserve"> </w:t>
      </w:r>
      <w:r w:rsidRPr="0042152F">
        <w:rPr>
          <w:rFonts w:ascii="Times New Roman" w:hAnsi="Times New Roman" w:cs="Times New Roman"/>
          <w:sz w:val="24"/>
          <w:szCs w:val="24"/>
        </w:rPr>
        <w:t>the value of idiosyncratic vision</w:t>
      </w:r>
      <w:r w:rsidR="00223B97">
        <w:rPr>
          <w:rFonts w:ascii="Times New Roman" w:hAnsi="Times New Roman" w:cs="Times New Roman"/>
          <w:sz w:val="24"/>
          <w:szCs w:val="24"/>
        </w:rPr>
        <w:t xml:space="preserve"> undermines</w:t>
      </w:r>
      <w:r w:rsidR="00C449BD">
        <w:rPr>
          <w:rFonts w:ascii="Times New Roman" w:hAnsi="Times New Roman" w:cs="Times New Roman"/>
          <w:sz w:val="24"/>
          <w:szCs w:val="24"/>
        </w:rPr>
        <w:t xml:space="preserve"> </w:t>
      </w:r>
      <w:r w:rsidRPr="0042152F">
        <w:rPr>
          <w:rFonts w:ascii="Times New Roman" w:hAnsi="Times New Roman" w:cs="Times New Roman"/>
          <w:sz w:val="24"/>
          <w:szCs w:val="24"/>
        </w:rPr>
        <w:t>the effectiveness of entire fairness review designed to prevent unfair self-dealing</w:t>
      </w:r>
      <w:r w:rsidR="00223B97">
        <w:rPr>
          <w:rFonts w:ascii="Times New Roman" w:hAnsi="Times New Roman" w:cs="Times New Roman"/>
          <w:sz w:val="24"/>
          <w:szCs w:val="24"/>
        </w:rPr>
        <w:t>, potentially</w:t>
      </w:r>
      <w:r w:rsidR="000557BA" w:rsidRPr="0042152F">
        <w:rPr>
          <w:rFonts w:ascii="Times New Roman" w:hAnsi="Times New Roman" w:cs="Times New Roman"/>
          <w:sz w:val="24"/>
          <w:szCs w:val="24"/>
        </w:rPr>
        <w:t xml:space="preserve"> </w:t>
      </w:r>
      <w:r w:rsidR="00223B97">
        <w:rPr>
          <w:rFonts w:ascii="Times New Roman" w:hAnsi="Times New Roman" w:cs="Times New Roman"/>
          <w:sz w:val="24"/>
          <w:szCs w:val="24"/>
        </w:rPr>
        <w:t>penalizing beneficial</w:t>
      </w:r>
      <w:r w:rsidR="000557BA" w:rsidRPr="0042152F">
        <w:rPr>
          <w:rFonts w:ascii="Times New Roman" w:hAnsi="Times New Roman" w:cs="Times New Roman"/>
          <w:sz w:val="24"/>
          <w:szCs w:val="24"/>
        </w:rPr>
        <w:t xml:space="preserve"> transactions</w:t>
      </w:r>
      <w:r w:rsidR="00223B97">
        <w:rPr>
          <w:rFonts w:ascii="Times New Roman" w:hAnsi="Times New Roman" w:cs="Times New Roman"/>
          <w:sz w:val="24"/>
          <w:szCs w:val="24"/>
        </w:rPr>
        <w:t>.</w:t>
      </w:r>
      <w:r w:rsidR="000557BA" w:rsidRPr="0042152F">
        <w:rPr>
          <w:rFonts w:ascii="Times New Roman" w:hAnsi="Times New Roman" w:cs="Times New Roman"/>
          <w:sz w:val="24"/>
          <w:szCs w:val="24"/>
        </w:rPr>
        <w:t xml:space="preserve"> </w:t>
      </w:r>
    </w:p>
    <w:p w14:paraId="46F62A01" w14:textId="26A948F9" w:rsidR="00C74EF7" w:rsidRPr="0042152F" w:rsidRDefault="00E6079F"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To address these challenges, we propose several reforms</w:t>
      </w:r>
      <w:r w:rsidR="00EC43EF">
        <w:rPr>
          <w:rFonts w:ascii="Times New Roman" w:hAnsi="Times New Roman" w:cs="Times New Roman"/>
          <w:sz w:val="24"/>
          <w:szCs w:val="24"/>
        </w:rPr>
        <w:t xml:space="preserve"> that would improve the regulation of controller transactions of all types</w:t>
      </w:r>
      <w:r w:rsidRPr="0042152F">
        <w:rPr>
          <w:rFonts w:ascii="Times New Roman" w:hAnsi="Times New Roman" w:cs="Times New Roman"/>
          <w:sz w:val="24"/>
          <w:szCs w:val="24"/>
        </w:rPr>
        <w:t xml:space="preserve">. </w:t>
      </w:r>
      <w:r w:rsidR="00EC43EF">
        <w:rPr>
          <w:rFonts w:ascii="Times New Roman" w:hAnsi="Times New Roman" w:cs="Times New Roman"/>
          <w:sz w:val="24"/>
          <w:szCs w:val="24"/>
        </w:rPr>
        <w:t>W</w:t>
      </w:r>
      <w:r w:rsidR="00EC43EF" w:rsidRPr="0042152F">
        <w:rPr>
          <w:rFonts w:ascii="Times New Roman" w:hAnsi="Times New Roman" w:cs="Times New Roman"/>
          <w:sz w:val="24"/>
          <w:szCs w:val="24"/>
        </w:rPr>
        <w:t xml:space="preserve">e </w:t>
      </w:r>
      <w:r w:rsidRPr="0042152F">
        <w:rPr>
          <w:rFonts w:ascii="Times New Roman" w:hAnsi="Times New Roman" w:cs="Times New Roman"/>
          <w:sz w:val="24"/>
          <w:szCs w:val="24"/>
        </w:rPr>
        <w:t xml:space="preserve">advocate for placing greater emphasis on shareholder votes when shareholders are fully informed about the </w:t>
      </w:r>
      <w:r w:rsidR="001A433C" w:rsidRPr="0042152F">
        <w:rPr>
          <w:rFonts w:ascii="Times New Roman" w:hAnsi="Times New Roman" w:cs="Times New Roman"/>
          <w:sz w:val="24"/>
          <w:szCs w:val="24"/>
        </w:rPr>
        <w:t xml:space="preserve">transaction’s </w:t>
      </w:r>
      <w:r w:rsidRPr="0042152F">
        <w:rPr>
          <w:rFonts w:ascii="Times New Roman" w:hAnsi="Times New Roman" w:cs="Times New Roman"/>
          <w:sz w:val="24"/>
          <w:szCs w:val="24"/>
        </w:rPr>
        <w:t xml:space="preserve">financial terms. </w:t>
      </w:r>
      <w:r w:rsidR="00C74EF7" w:rsidRPr="0042152F">
        <w:rPr>
          <w:rFonts w:ascii="Times New Roman" w:hAnsi="Times New Roman" w:cs="Times New Roman"/>
          <w:sz w:val="24"/>
          <w:szCs w:val="24"/>
        </w:rPr>
        <w:t xml:space="preserve">This </w:t>
      </w:r>
      <w:r w:rsidR="0034717B">
        <w:rPr>
          <w:rFonts w:ascii="Times New Roman" w:hAnsi="Times New Roman" w:cs="Times New Roman"/>
          <w:sz w:val="24"/>
          <w:szCs w:val="24"/>
        </w:rPr>
        <w:t xml:space="preserve">adjustment </w:t>
      </w:r>
      <w:r w:rsidR="00C74EF7" w:rsidRPr="0042152F">
        <w:rPr>
          <w:rFonts w:ascii="Times New Roman" w:hAnsi="Times New Roman" w:cs="Times New Roman"/>
          <w:sz w:val="24"/>
          <w:szCs w:val="24"/>
        </w:rPr>
        <w:t xml:space="preserve">would cause the </w:t>
      </w:r>
      <w:r w:rsidR="00C74EF7" w:rsidRPr="0042152F">
        <w:rPr>
          <w:rFonts w:ascii="Times New Roman" w:hAnsi="Times New Roman" w:cs="Times New Roman"/>
          <w:i/>
          <w:iCs/>
          <w:sz w:val="24"/>
          <w:szCs w:val="24"/>
        </w:rPr>
        <w:t xml:space="preserve">MFW </w:t>
      </w:r>
      <w:r w:rsidR="00C74EF7" w:rsidRPr="0042152F">
        <w:rPr>
          <w:rFonts w:ascii="Times New Roman" w:hAnsi="Times New Roman" w:cs="Times New Roman"/>
          <w:sz w:val="24"/>
          <w:szCs w:val="24"/>
        </w:rPr>
        <w:t>framework, which takes the valuation issue out of the hands of the court, to fail less often</w:t>
      </w:r>
      <w:r w:rsidR="0034717B">
        <w:rPr>
          <w:rFonts w:ascii="Times New Roman" w:hAnsi="Times New Roman" w:cs="Times New Roman"/>
          <w:sz w:val="24"/>
          <w:szCs w:val="24"/>
        </w:rPr>
        <w:t>,</w:t>
      </w:r>
      <w:r w:rsidR="008F6167">
        <w:rPr>
          <w:rFonts w:ascii="Times New Roman" w:hAnsi="Times New Roman" w:cs="Times New Roman"/>
          <w:sz w:val="24"/>
          <w:szCs w:val="24"/>
        </w:rPr>
        <w:t xml:space="preserve"> offering deal planners the protection of the business judgment rule</w:t>
      </w:r>
      <w:r w:rsidR="00C74EF7" w:rsidRPr="0042152F">
        <w:rPr>
          <w:rFonts w:ascii="Times New Roman" w:hAnsi="Times New Roman" w:cs="Times New Roman"/>
          <w:sz w:val="24"/>
          <w:szCs w:val="24"/>
        </w:rPr>
        <w:t xml:space="preserve"> when</w:t>
      </w:r>
      <w:r w:rsidR="00EC43EF">
        <w:rPr>
          <w:rFonts w:ascii="Times New Roman" w:hAnsi="Times New Roman" w:cs="Times New Roman"/>
          <w:sz w:val="24"/>
          <w:szCs w:val="24"/>
        </w:rPr>
        <w:t>ever</w:t>
      </w:r>
      <w:r w:rsidR="00C74EF7" w:rsidRPr="0042152F">
        <w:rPr>
          <w:rFonts w:ascii="Times New Roman" w:hAnsi="Times New Roman" w:cs="Times New Roman"/>
          <w:sz w:val="24"/>
          <w:szCs w:val="24"/>
        </w:rPr>
        <w:t xml:space="preserve"> </w:t>
      </w:r>
      <w:r w:rsidR="007B13A5" w:rsidRPr="0042152F">
        <w:rPr>
          <w:rFonts w:ascii="Times New Roman" w:hAnsi="Times New Roman" w:cs="Times New Roman"/>
          <w:sz w:val="24"/>
          <w:szCs w:val="24"/>
        </w:rPr>
        <w:t xml:space="preserve">there </w:t>
      </w:r>
      <w:r w:rsidR="00EC43EF">
        <w:rPr>
          <w:rFonts w:ascii="Times New Roman" w:hAnsi="Times New Roman" w:cs="Times New Roman"/>
          <w:sz w:val="24"/>
          <w:szCs w:val="24"/>
        </w:rPr>
        <w:t>is</w:t>
      </w:r>
      <w:r w:rsidR="00C74EF7" w:rsidRPr="0042152F">
        <w:rPr>
          <w:rFonts w:ascii="Times New Roman" w:hAnsi="Times New Roman" w:cs="Times New Roman"/>
          <w:sz w:val="24"/>
          <w:szCs w:val="24"/>
        </w:rPr>
        <w:t xml:space="preserve"> confidence that the key decisionmakers have embraced the vision behind the transaction as well as its </w:t>
      </w:r>
      <w:r w:rsidR="008F6167">
        <w:rPr>
          <w:rFonts w:ascii="Times New Roman" w:hAnsi="Times New Roman" w:cs="Times New Roman"/>
          <w:sz w:val="24"/>
          <w:szCs w:val="24"/>
        </w:rPr>
        <w:t>financial terms</w:t>
      </w:r>
      <w:r w:rsidR="00C74EF7" w:rsidRPr="0042152F">
        <w:rPr>
          <w:rFonts w:ascii="Times New Roman" w:hAnsi="Times New Roman" w:cs="Times New Roman"/>
          <w:sz w:val="24"/>
          <w:szCs w:val="24"/>
        </w:rPr>
        <w:t>.</w:t>
      </w:r>
    </w:p>
    <w:p w14:paraId="3A72CB3D" w14:textId="28D8E13F" w:rsidR="00E6079F" w:rsidRPr="0042152F" w:rsidRDefault="00C74EF7"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We also propose reforms to </w:t>
      </w:r>
      <w:r w:rsidR="008F6167">
        <w:rPr>
          <w:rFonts w:ascii="Times New Roman" w:hAnsi="Times New Roman" w:cs="Times New Roman"/>
          <w:sz w:val="24"/>
          <w:szCs w:val="24"/>
        </w:rPr>
        <w:t>court’s application of the</w:t>
      </w:r>
      <w:r w:rsidR="008F6167" w:rsidRPr="0042152F">
        <w:rPr>
          <w:rFonts w:ascii="Times New Roman" w:hAnsi="Times New Roman" w:cs="Times New Roman"/>
          <w:sz w:val="24"/>
          <w:szCs w:val="24"/>
        </w:rPr>
        <w:t xml:space="preserve"> </w:t>
      </w:r>
      <w:r w:rsidRPr="0042152F">
        <w:rPr>
          <w:rFonts w:ascii="Times New Roman" w:hAnsi="Times New Roman" w:cs="Times New Roman"/>
          <w:sz w:val="24"/>
          <w:szCs w:val="24"/>
        </w:rPr>
        <w:t>entire fairness</w:t>
      </w:r>
      <w:r w:rsidR="00E646BA" w:rsidRPr="0042152F">
        <w:rPr>
          <w:rFonts w:ascii="Times New Roman" w:hAnsi="Times New Roman" w:cs="Times New Roman"/>
          <w:sz w:val="24"/>
          <w:szCs w:val="24"/>
        </w:rPr>
        <w:t xml:space="preserve"> standard of</w:t>
      </w:r>
      <w:r w:rsidRPr="0042152F">
        <w:rPr>
          <w:rFonts w:ascii="Times New Roman" w:hAnsi="Times New Roman" w:cs="Times New Roman"/>
          <w:sz w:val="24"/>
          <w:szCs w:val="24"/>
        </w:rPr>
        <w:t xml:space="preserve"> review that better reflect </w:t>
      </w:r>
      <w:r w:rsidR="00E646BA" w:rsidRPr="0042152F">
        <w:rPr>
          <w:rFonts w:ascii="Times New Roman" w:hAnsi="Times New Roman" w:cs="Times New Roman"/>
          <w:sz w:val="24"/>
          <w:szCs w:val="24"/>
        </w:rPr>
        <w:t xml:space="preserve">the </w:t>
      </w:r>
      <w:r w:rsidR="007B13A5" w:rsidRPr="0042152F">
        <w:rPr>
          <w:rFonts w:ascii="Times New Roman" w:hAnsi="Times New Roman" w:cs="Times New Roman"/>
          <w:sz w:val="24"/>
          <w:szCs w:val="24"/>
        </w:rPr>
        <w:t>court’s</w:t>
      </w:r>
      <w:r w:rsidRPr="0042152F">
        <w:rPr>
          <w:rFonts w:ascii="Times New Roman" w:hAnsi="Times New Roman" w:cs="Times New Roman"/>
          <w:sz w:val="24"/>
          <w:szCs w:val="24"/>
        </w:rPr>
        <w:t xml:space="preserve"> advantages. When shareholders have voted in favor of vision, the defendants would receive a burden shift, and the court would not consider </w:t>
      </w:r>
      <w:r w:rsidR="00E6079F" w:rsidRPr="0042152F">
        <w:rPr>
          <w:rFonts w:ascii="Times New Roman" w:hAnsi="Times New Roman" w:cs="Times New Roman"/>
          <w:sz w:val="24"/>
          <w:szCs w:val="24"/>
        </w:rPr>
        <w:t xml:space="preserve">evidence about average asset value or common market practices. If the controller </w:t>
      </w:r>
      <w:r w:rsidR="007B13A5" w:rsidRPr="0042152F">
        <w:rPr>
          <w:rFonts w:ascii="Times New Roman" w:hAnsi="Times New Roman" w:cs="Times New Roman"/>
          <w:sz w:val="24"/>
          <w:szCs w:val="24"/>
        </w:rPr>
        <w:t xml:space="preserve">transaction </w:t>
      </w:r>
      <w:r w:rsidR="00E6079F" w:rsidRPr="0042152F">
        <w:rPr>
          <w:rFonts w:ascii="Times New Roman" w:hAnsi="Times New Roman" w:cs="Times New Roman"/>
          <w:sz w:val="24"/>
          <w:szCs w:val="24"/>
        </w:rPr>
        <w:t xml:space="preserve">received only the approval of the special committee, </w:t>
      </w:r>
      <w:r w:rsidR="00D745C6">
        <w:rPr>
          <w:rFonts w:ascii="Times New Roman" w:hAnsi="Times New Roman" w:cs="Times New Roman"/>
          <w:sz w:val="24"/>
          <w:szCs w:val="24"/>
        </w:rPr>
        <w:t>this approval</w:t>
      </w:r>
      <w:r w:rsidR="00D745C6" w:rsidRPr="0042152F">
        <w:rPr>
          <w:rFonts w:ascii="Times New Roman" w:hAnsi="Times New Roman" w:cs="Times New Roman"/>
          <w:sz w:val="24"/>
          <w:szCs w:val="24"/>
        </w:rPr>
        <w:t xml:space="preserve"> </w:t>
      </w:r>
      <w:r w:rsidR="008F6167">
        <w:rPr>
          <w:rFonts w:ascii="Times New Roman" w:hAnsi="Times New Roman" w:cs="Times New Roman"/>
          <w:sz w:val="24"/>
          <w:szCs w:val="24"/>
        </w:rPr>
        <w:t>would</w:t>
      </w:r>
      <w:r w:rsidR="008F6167" w:rsidRPr="0042152F">
        <w:rPr>
          <w:rFonts w:ascii="Times New Roman" w:hAnsi="Times New Roman" w:cs="Times New Roman"/>
          <w:sz w:val="24"/>
          <w:szCs w:val="24"/>
        </w:rPr>
        <w:t xml:space="preserve"> </w:t>
      </w:r>
      <w:r w:rsidR="00E6079F" w:rsidRPr="0042152F">
        <w:rPr>
          <w:rFonts w:ascii="Times New Roman" w:hAnsi="Times New Roman" w:cs="Times New Roman"/>
          <w:sz w:val="24"/>
          <w:szCs w:val="24"/>
        </w:rPr>
        <w:t>shift the burden to the plaintiff</w:t>
      </w:r>
      <w:r w:rsidRPr="0042152F">
        <w:rPr>
          <w:rFonts w:ascii="Times New Roman" w:hAnsi="Times New Roman" w:cs="Times New Roman"/>
          <w:sz w:val="24"/>
          <w:szCs w:val="24"/>
        </w:rPr>
        <w:t>s</w:t>
      </w:r>
      <w:r w:rsidR="00E6079F" w:rsidRPr="0042152F">
        <w:rPr>
          <w:rFonts w:ascii="Times New Roman" w:hAnsi="Times New Roman" w:cs="Times New Roman"/>
          <w:sz w:val="24"/>
          <w:szCs w:val="24"/>
        </w:rPr>
        <w:t xml:space="preserve">, who </w:t>
      </w:r>
      <w:r w:rsidR="008F6167">
        <w:rPr>
          <w:rFonts w:ascii="Times New Roman" w:hAnsi="Times New Roman" w:cs="Times New Roman"/>
          <w:sz w:val="24"/>
          <w:szCs w:val="24"/>
        </w:rPr>
        <w:t>could attempt to</w:t>
      </w:r>
      <w:r w:rsidR="00E6079F" w:rsidRPr="0042152F">
        <w:rPr>
          <w:rFonts w:ascii="Times New Roman" w:hAnsi="Times New Roman" w:cs="Times New Roman"/>
          <w:sz w:val="24"/>
          <w:szCs w:val="24"/>
        </w:rPr>
        <w:t xml:space="preserve"> prove unfairness based on market practices and other acceptable valuation methods.</w:t>
      </w:r>
    </w:p>
    <w:p w14:paraId="35E9BA4B" w14:textId="0DF2FCF6" w:rsidR="00E6079F" w:rsidRPr="0042152F" w:rsidRDefault="001B58BC" w:rsidP="00B54C7C">
      <w:pPr>
        <w:spacing w:after="0" w:line="360" w:lineRule="auto"/>
        <w:ind w:firstLine="720"/>
        <w:jc w:val="both"/>
        <w:rPr>
          <w:rFonts w:ascii="Times New Roman" w:hAnsi="Times New Roman" w:cs="Times New Roman"/>
          <w:sz w:val="24"/>
          <w:szCs w:val="24"/>
        </w:rPr>
      </w:pPr>
      <w:r w:rsidRPr="0042152F">
        <w:rPr>
          <w:rFonts w:ascii="Times New Roman" w:hAnsi="Times New Roman" w:cs="Times New Roman"/>
          <w:sz w:val="24"/>
          <w:szCs w:val="24"/>
        </w:rPr>
        <w:t xml:space="preserve">Our proposed </w:t>
      </w:r>
      <w:r w:rsidR="00E6079F" w:rsidRPr="0042152F">
        <w:rPr>
          <w:rFonts w:ascii="Times New Roman" w:hAnsi="Times New Roman" w:cs="Times New Roman"/>
          <w:sz w:val="24"/>
          <w:szCs w:val="24"/>
        </w:rPr>
        <w:t xml:space="preserve">judicial framework balances the protection of minority shareholders with the </w:t>
      </w:r>
      <w:r w:rsidR="00B91A06">
        <w:rPr>
          <w:rFonts w:ascii="Times New Roman" w:hAnsi="Times New Roman" w:cs="Times New Roman"/>
          <w:sz w:val="24"/>
          <w:szCs w:val="24"/>
        </w:rPr>
        <w:t>desire</w:t>
      </w:r>
      <w:r w:rsidR="00952A82">
        <w:rPr>
          <w:rFonts w:ascii="Times New Roman" w:hAnsi="Times New Roman" w:cs="Times New Roman"/>
          <w:sz w:val="24"/>
          <w:szCs w:val="24"/>
        </w:rPr>
        <w:t xml:space="preserve"> </w:t>
      </w:r>
      <w:r w:rsidR="00C74EF7" w:rsidRPr="0042152F">
        <w:rPr>
          <w:rFonts w:ascii="Times New Roman" w:hAnsi="Times New Roman" w:cs="Times New Roman"/>
          <w:sz w:val="24"/>
          <w:szCs w:val="24"/>
        </w:rPr>
        <w:t xml:space="preserve">to promote </w:t>
      </w:r>
      <w:r w:rsidR="00E6079F" w:rsidRPr="0042152F">
        <w:rPr>
          <w:rFonts w:ascii="Times New Roman" w:hAnsi="Times New Roman" w:cs="Times New Roman"/>
          <w:sz w:val="24"/>
          <w:szCs w:val="24"/>
        </w:rPr>
        <w:t xml:space="preserve">entrepreneurial idiosyncratic vision. </w:t>
      </w:r>
      <w:r w:rsidR="00C74EF7" w:rsidRPr="0042152F">
        <w:rPr>
          <w:rFonts w:ascii="Times New Roman" w:hAnsi="Times New Roman" w:cs="Times New Roman"/>
          <w:sz w:val="24"/>
          <w:szCs w:val="24"/>
        </w:rPr>
        <w:t>It would reduce the frequency in which</w:t>
      </w:r>
      <w:r w:rsidR="00E6079F" w:rsidRPr="0042152F">
        <w:rPr>
          <w:rFonts w:ascii="Times New Roman" w:hAnsi="Times New Roman" w:cs="Times New Roman"/>
          <w:sz w:val="24"/>
          <w:szCs w:val="24"/>
        </w:rPr>
        <w:t xml:space="preserve"> courts </w:t>
      </w:r>
      <w:r w:rsidR="00C74EF7" w:rsidRPr="0042152F">
        <w:rPr>
          <w:rFonts w:ascii="Times New Roman" w:hAnsi="Times New Roman" w:cs="Times New Roman"/>
          <w:sz w:val="24"/>
          <w:szCs w:val="24"/>
        </w:rPr>
        <w:t>are forced to value vision and provide guardrails on the</w:t>
      </w:r>
      <w:r w:rsidR="00D745C6">
        <w:rPr>
          <w:rFonts w:ascii="Times New Roman" w:hAnsi="Times New Roman" w:cs="Times New Roman"/>
          <w:sz w:val="24"/>
          <w:szCs w:val="24"/>
        </w:rPr>
        <w:t>ir</w:t>
      </w:r>
      <w:r w:rsidR="00C74EF7" w:rsidRPr="0042152F">
        <w:rPr>
          <w:rFonts w:ascii="Times New Roman" w:hAnsi="Times New Roman" w:cs="Times New Roman"/>
          <w:sz w:val="24"/>
          <w:szCs w:val="24"/>
        </w:rPr>
        <w:t xml:space="preserve"> analysis when they do</w:t>
      </w:r>
      <w:r w:rsidR="007B13A5" w:rsidRPr="0042152F">
        <w:rPr>
          <w:rFonts w:ascii="Times New Roman" w:hAnsi="Times New Roman" w:cs="Times New Roman"/>
          <w:sz w:val="24"/>
          <w:szCs w:val="24"/>
        </w:rPr>
        <w:t xml:space="preserve">. </w:t>
      </w:r>
      <w:r w:rsidR="00D745C6">
        <w:rPr>
          <w:rFonts w:ascii="Times New Roman" w:hAnsi="Times New Roman" w:cs="Times New Roman"/>
          <w:sz w:val="24"/>
          <w:szCs w:val="24"/>
        </w:rPr>
        <w:t xml:space="preserve">Ultimately, our framework </w:t>
      </w:r>
      <w:r w:rsidR="007B13A5" w:rsidRPr="0042152F">
        <w:rPr>
          <w:rFonts w:ascii="Times New Roman" w:hAnsi="Times New Roman" w:cs="Times New Roman"/>
          <w:sz w:val="24"/>
          <w:szCs w:val="24"/>
        </w:rPr>
        <w:t xml:space="preserve">would lead to </w:t>
      </w:r>
      <w:r w:rsidR="00E6079F" w:rsidRPr="0042152F">
        <w:rPr>
          <w:rFonts w:ascii="Times New Roman" w:hAnsi="Times New Roman" w:cs="Times New Roman"/>
          <w:sz w:val="24"/>
          <w:szCs w:val="24"/>
        </w:rPr>
        <w:t xml:space="preserve">a more effective and equitable system that acknowledges the unique contributions of visionary leaders while protecting the interests of minority </w:t>
      </w:r>
      <w:r w:rsidR="00C74EF7" w:rsidRPr="0042152F">
        <w:rPr>
          <w:rFonts w:ascii="Times New Roman" w:hAnsi="Times New Roman" w:cs="Times New Roman"/>
          <w:sz w:val="24"/>
          <w:szCs w:val="24"/>
        </w:rPr>
        <w:t>shareholders, foster</w:t>
      </w:r>
      <w:r w:rsidR="007B13A5" w:rsidRPr="0042152F">
        <w:rPr>
          <w:rFonts w:ascii="Times New Roman" w:hAnsi="Times New Roman" w:cs="Times New Roman"/>
          <w:sz w:val="24"/>
          <w:szCs w:val="24"/>
        </w:rPr>
        <w:t>ing</w:t>
      </w:r>
      <w:r w:rsidR="00C74EF7" w:rsidRPr="0042152F">
        <w:rPr>
          <w:rFonts w:ascii="Times New Roman" w:hAnsi="Times New Roman" w:cs="Times New Roman"/>
          <w:sz w:val="24"/>
          <w:szCs w:val="24"/>
        </w:rPr>
        <w:t xml:space="preserve"> an environment that is conducive to innovative business leadership</w:t>
      </w:r>
      <w:r w:rsidR="007B13A5" w:rsidRPr="0042152F">
        <w:rPr>
          <w:rFonts w:ascii="Times New Roman" w:hAnsi="Times New Roman" w:cs="Times New Roman"/>
          <w:sz w:val="24"/>
          <w:szCs w:val="24"/>
        </w:rPr>
        <w:t>.</w:t>
      </w:r>
      <w:r w:rsidR="00C74EF7" w:rsidRPr="0042152F">
        <w:rPr>
          <w:rFonts w:ascii="Times New Roman" w:hAnsi="Times New Roman" w:cs="Times New Roman"/>
          <w:sz w:val="24"/>
          <w:szCs w:val="24"/>
        </w:rPr>
        <w:t xml:space="preserve"> </w:t>
      </w:r>
    </w:p>
    <w:p w14:paraId="07CA2A6F" w14:textId="71CAA25D" w:rsidR="00F64FD9" w:rsidRPr="0042152F" w:rsidRDefault="00F64FD9" w:rsidP="00B54C7C">
      <w:pPr>
        <w:spacing w:after="0" w:line="360" w:lineRule="auto"/>
        <w:jc w:val="both"/>
        <w:rPr>
          <w:rFonts w:ascii="Times New Roman" w:hAnsi="Times New Roman" w:cs="Times New Roman"/>
          <w:sz w:val="24"/>
          <w:szCs w:val="24"/>
        </w:rPr>
      </w:pPr>
    </w:p>
    <w:p w14:paraId="05C3B2EA" w14:textId="3FB3687D" w:rsidR="00F64FD9" w:rsidRPr="0042152F" w:rsidRDefault="00F64FD9" w:rsidP="00B54C7C">
      <w:pPr>
        <w:spacing w:after="0" w:line="360" w:lineRule="auto"/>
        <w:jc w:val="both"/>
        <w:rPr>
          <w:rFonts w:ascii="Times New Roman" w:hAnsi="Times New Roman" w:cs="Times New Roman"/>
          <w:sz w:val="24"/>
          <w:szCs w:val="24"/>
        </w:rPr>
      </w:pPr>
    </w:p>
    <w:sectPr w:rsidR="00F64FD9" w:rsidRPr="0042152F" w:rsidSect="00A27A05">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3E42" w14:textId="77777777" w:rsidR="00FF6175" w:rsidRDefault="00FF6175" w:rsidP="00B07245">
      <w:pPr>
        <w:spacing w:after="0" w:line="240" w:lineRule="auto"/>
      </w:pPr>
      <w:r>
        <w:separator/>
      </w:r>
    </w:p>
  </w:endnote>
  <w:endnote w:type="continuationSeparator" w:id="0">
    <w:p w14:paraId="3864DF11" w14:textId="77777777" w:rsidR="00FF6175" w:rsidRDefault="00FF6175" w:rsidP="00B07245">
      <w:pPr>
        <w:spacing w:after="0" w:line="240" w:lineRule="auto"/>
      </w:pPr>
      <w:r>
        <w:continuationSeparator/>
      </w:r>
    </w:p>
  </w:endnote>
  <w:endnote w:type="continuationNotice" w:id="1">
    <w:p w14:paraId="5B3D7D80" w14:textId="77777777" w:rsidR="00FF6175" w:rsidRDefault="00FF6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NewBaskervilleITCPro-Roman">
    <w:altName w:val="Yu Gothic"/>
    <w:panose1 w:val="020B0604020202020204"/>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7FF6" w14:textId="77777777" w:rsidR="00B54C7C" w:rsidRDefault="00B54C7C" w:rsidP="00876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355424549"/>
      <w:docPartObj>
        <w:docPartGallery w:val="Page Numbers (Bottom of Page)"/>
        <w:docPartUnique/>
      </w:docPartObj>
    </w:sdtPr>
    <w:sdtEndPr>
      <w:rPr>
        <w:noProof/>
      </w:rPr>
    </w:sdtEndPr>
    <w:sdtContent>
      <w:p w14:paraId="0DAA59A7" w14:textId="0A86F816" w:rsidR="00B54C7C" w:rsidRPr="00CC4950" w:rsidRDefault="00B54C7C">
        <w:pPr>
          <w:pStyle w:val="Footer"/>
          <w:jc w:val="center"/>
          <w:rPr>
            <w:rFonts w:ascii="Times New Roman" w:hAnsi="Times New Roman" w:cs="Times New Roman"/>
          </w:rPr>
        </w:pPr>
        <w:r w:rsidRPr="00CC4950">
          <w:rPr>
            <w:rFonts w:ascii="Times New Roman" w:hAnsi="Times New Roman" w:cs="Times New Roman"/>
          </w:rPr>
          <w:fldChar w:fldCharType="begin"/>
        </w:r>
        <w:r w:rsidRPr="00CC4950">
          <w:rPr>
            <w:rFonts w:ascii="Times New Roman" w:hAnsi="Times New Roman" w:cs="Times New Roman"/>
          </w:rPr>
          <w:instrText xml:space="preserve"> PAGE   \* MERGEFORMAT </w:instrText>
        </w:r>
        <w:r w:rsidRPr="00CC4950">
          <w:rPr>
            <w:rFonts w:ascii="Times New Roman" w:hAnsi="Times New Roman" w:cs="Times New Roman"/>
          </w:rPr>
          <w:fldChar w:fldCharType="separate"/>
        </w:r>
        <w:r w:rsidR="0083714B">
          <w:rPr>
            <w:rFonts w:ascii="Times New Roman" w:hAnsi="Times New Roman" w:cs="Times New Roman"/>
            <w:noProof/>
          </w:rPr>
          <w:t>19</w:t>
        </w:r>
        <w:r w:rsidRPr="00CC4950">
          <w:rPr>
            <w:rFonts w:ascii="Times New Roman" w:hAnsi="Times New Roman" w:cs="Times New Roman"/>
            <w:noProof/>
          </w:rPr>
          <w:fldChar w:fldCharType="end"/>
        </w:r>
      </w:p>
    </w:sdtContent>
  </w:sdt>
  <w:p w14:paraId="5B3E0481" w14:textId="77777777" w:rsidR="00B54C7C" w:rsidRPr="00CC4950" w:rsidRDefault="00B54C7C" w:rsidP="0087676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DC52" w14:textId="77777777" w:rsidR="00FF6175" w:rsidRDefault="00FF6175" w:rsidP="00B07245">
      <w:pPr>
        <w:spacing w:after="0" w:line="240" w:lineRule="auto"/>
      </w:pPr>
      <w:r>
        <w:separator/>
      </w:r>
    </w:p>
  </w:footnote>
  <w:footnote w:type="continuationSeparator" w:id="0">
    <w:p w14:paraId="2D2CF87D" w14:textId="77777777" w:rsidR="00FF6175" w:rsidRDefault="00FF6175" w:rsidP="00B07245">
      <w:pPr>
        <w:spacing w:after="0" w:line="240" w:lineRule="auto"/>
      </w:pPr>
      <w:r>
        <w:continuationSeparator/>
      </w:r>
    </w:p>
  </w:footnote>
  <w:footnote w:type="continuationNotice" w:id="1">
    <w:p w14:paraId="591A01A9" w14:textId="77777777" w:rsidR="00FF6175" w:rsidRDefault="00FF6175">
      <w:pPr>
        <w:spacing w:after="0" w:line="240" w:lineRule="auto"/>
      </w:pPr>
    </w:p>
  </w:footnote>
  <w:footnote w:id="2">
    <w:p w14:paraId="591C364F" w14:textId="02CF5A5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t>*</w:t>
      </w:r>
      <w:r w:rsidRPr="003170A4">
        <w:rPr>
          <w:rFonts w:asciiTheme="majorBidi" w:hAnsiTheme="majorBidi" w:cstheme="majorBidi"/>
        </w:rPr>
        <w:t xml:space="preserve"> Jerome L. Greene </w:t>
      </w:r>
      <w:r w:rsidRPr="003170A4">
        <w:rPr>
          <w:rFonts w:asciiTheme="majorBidi" w:hAnsiTheme="majorBidi" w:cstheme="majorBidi"/>
          <w:shd w:val="clear" w:color="auto" w:fill="FFFFFF"/>
        </w:rPr>
        <w:t>Professor of Transactional Law, Columbia Law School; ECGI.</w:t>
      </w:r>
    </w:p>
  </w:footnote>
  <w:footnote w:id="3">
    <w:p w14:paraId="597CCB98" w14:textId="017D107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t>*</w:t>
      </w:r>
      <w:r w:rsidRPr="003170A4">
        <w:rPr>
          <w:rFonts w:asciiTheme="majorBidi" w:hAnsiTheme="majorBidi" w:cstheme="majorBidi"/>
        </w:rPr>
        <w:t xml:space="preserve"> </w:t>
      </w:r>
      <w:r w:rsidRPr="003170A4">
        <w:rPr>
          <w:rFonts w:asciiTheme="majorBidi" w:hAnsiTheme="majorBidi" w:cstheme="majorBidi"/>
          <w:shd w:val="clear" w:color="auto" w:fill="FFFFFF"/>
        </w:rPr>
        <w:t>Professor of Law, Tel Aviv University; ECGI.</w:t>
      </w:r>
    </w:p>
  </w:footnote>
  <w:footnote w:id="4">
    <w:p w14:paraId="0E4C7095" w14:textId="0464C6A3" w:rsidR="00B54C7C" w:rsidRPr="003170A4" w:rsidRDefault="00B54C7C" w:rsidP="002E3243">
      <w:pPr>
        <w:pStyle w:val="FootnoteText"/>
        <w:jc w:val="both"/>
        <w:rPr>
          <w:rFonts w:asciiTheme="majorBidi" w:hAnsiTheme="majorBidi" w:cstheme="majorBidi"/>
        </w:rPr>
      </w:pPr>
      <w:r w:rsidRPr="003170A4">
        <w:rPr>
          <w:rStyle w:val="FootnoteReference"/>
          <w:rFonts w:asciiTheme="majorBidi" w:hAnsiTheme="majorBidi" w:cstheme="majorBidi"/>
        </w:rPr>
        <w:t>*</w:t>
      </w:r>
      <w:r w:rsidRPr="003170A4">
        <w:rPr>
          <w:rFonts w:asciiTheme="majorBidi" w:hAnsiTheme="majorBidi" w:cstheme="majorBidi"/>
        </w:rPr>
        <w:t xml:space="preserve"> </w:t>
      </w:r>
      <w:r w:rsidRPr="003170A4">
        <w:rPr>
          <w:rFonts w:asciiTheme="majorBidi" w:hAnsiTheme="majorBidi" w:cstheme="majorBidi"/>
          <w:shd w:val="clear" w:color="auto" w:fill="FFFFFF"/>
        </w:rPr>
        <w:t xml:space="preserve">1982 Alumna Professor of Law, Columbia Law School; Co-Director of the Millstein Center for Global Markets and Corporate Ownership; ECGI. </w:t>
      </w:r>
      <w:r w:rsidRPr="003170A4">
        <w:rPr>
          <w:rFonts w:asciiTheme="majorBidi" w:hAnsiTheme="majorBidi" w:cstheme="majorBidi"/>
          <w:shd w:val="clear" w:color="auto" w:fill="FFFFFF"/>
        </w:rPr>
        <w:t xml:space="preserve">The authors have benefitted from insightful comments and discussions with Ryan Bubb, Stephen </w:t>
      </w:r>
      <w:proofErr w:type="spellStart"/>
      <w:r w:rsidRPr="003170A4">
        <w:rPr>
          <w:rFonts w:asciiTheme="majorBidi" w:hAnsiTheme="majorBidi" w:cstheme="majorBidi"/>
          <w:shd w:val="clear" w:color="auto" w:fill="FFFFFF"/>
        </w:rPr>
        <w:t>Fraidin</w:t>
      </w:r>
      <w:proofErr w:type="spellEnd"/>
      <w:r w:rsidRPr="003170A4">
        <w:rPr>
          <w:rFonts w:asciiTheme="majorBidi" w:hAnsiTheme="majorBidi" w:cstheme="majorBidi"/>
          <w:shd w:val="clear" w:color="auto" w:fill="FFFFFF"/>
        </w:rPr>
        <w:t xml:space="preserve">, </w:t>
      </w:r>
      <w:r w:rsidR="00152462">
        <w:rPr>
          <w:rFonts w:asciiTheme="majorBidi" w:hAnsiTheme="majorBidi" w:cstheme="majorBidi"/>
          <w:shd w:val="clear" w:color="auto" w:fill="FFFFFF"/>
        </w:rPr>
        <w:t xml:space="preserve">Ronald Gilson, </w:t>
      </w:r>
      <w:r w:rsidRPr="003170A4">
        <w:rPr>
          <w:rFonts w:asciiTheme="majorBidi" w:hAnsiTheme="majorBidi" w:cstheme="majorBidi"/>
          <w:shd w:val="clear" w:color="auto" w:fill="FFFFFF"/>
        </w:rPr>
        <w:t xml:space="preserve">Kobi </w:t>
      </w:r>
      <w:proofErr w:type="spellStart"/>
      <w:r w:rsidRPr="003170A4">
        <w:rPr>
          <w:rFonts w:asciiTheme="majorBidi" w:hAnsiTheme="majorBidi" w:cstheme="majorBidi"/>
          <w:shd w:val="clear" w:color="auto" w:fill="FFFFFF"/>
        </w:rPr>
        <w:t>Kastiel</w:t>
      </w:r>
      <w:proofErr w:type="spellEnd"/>
      <w:r w:rsidRPr="003170A4">
        <w:rPr>
          <w:rFonts w:asciiTheme="majorBidi" w:hAnsiTheme="majorBidi" w:cstheme="majorBidi"/>
          <w:shd w:val="clear" w:color="auto" w:fill="FFFFFF"/>
        </w:rPr>
        <w:t xml:space="preserve">, Ann Lipton, Ted Mirvis, John Reed, </w:t>
      </w:r>
      <w:r w:rsidR="00E5426B" w:rsidRPr="003170A4">
        <w:rPr>
          <w:rFonts w:asciiTheme="majorBidi" w:hAnsiTheme="majorBidi" w:cstheme="majorBidi"/>
          <w:shd w:val="clear" w:color="auto" w:fill="FFFFFF"/>
        </w:rPr>
        <w:t xml:space="preserve">Udi Sol, </w:t>
      </w:r>
      <w:r w:rsidRPr="003170A4">
        <w:rPr>
          <w:rFonts w:asciiTheme="majorBidi" w:hAnsiTheme="majorBidi" w:cstheme="majorBidi"/>
          <w:shd w:val="clear" w:color="auto" w:fill="FFFFFF"/>
        </w:rPr>
        <w:t xml:space="preserve">and Eric Talley and the participants in the Columbia Law School Faculty </w:t>
      </w:r>
      <w:r w:rsidR="002E3243" w:rsidRPr="003170A4">
        <w:rPr>
          <w:rFonts w:asciiTheme="majorBidi" w:hAnsiTheme="majorBidi" w:cstheme="majorBidi"/>
          <w:shd w:val="clear" w:color="auto" w:fill="FFFFFF"/>
        </w:rPr>
        <w:t>W</w:t>
      </w:r>
      <w:r w:rsidRPr="003170A4">
        <w:rPr>
          <w:rFonts w:asciiTheme="majorBidi" w:hAnsiTheme="majorBidi" w:cstheme="majorBidi"/>
          <w:shd w:val="clear" w:color="auto" w:fill="FFFFFF"/>
        </w:rPr>
        <w:t>orkshop</w:t>
      </w:r>
      <w:r w:rsidR="0042050D">
        <w:rPr>
          <w:rFonts w:asciiTheme="majorBidi" w:hAnsiTheme="majorBidi" w:cstheme="majorBidi"/>
          <w:shd w:val="clear" w:color="auto" w:fill="FFFFFF"/>
        </w:rPr>
        <w:t xml:space="preserve"> and the Millstein Center Advisory Board Meeting</w:t>
      </w:r>
      <w:r w:rsidRPr="003170A4">
        <w:rPr>
          <w:rFonts w:asciiTheme="majorBidi" w:hAnsiTheme="majorBidi" w:cstheme="majorBidi"/>
          <w:shd w:val="clear" w:color="auto" w:fill="FFFFFF"/>
        </w:rPr>
        <w:t>. Thanks to I</w:t>
      </w:r>
      <w:r w:rsidRPr="003170A4">
        <w:rPr>
          <w:rFonts w:asciiTheme="majorBidi" w:hAnsiTheme="majorBidi" w:cstheme="majorBidi"/>
          <w:shd w:val="clear" w:color="auto" w:fill="FFFFFF"/>
          <w:lang w:bidi="he-IL"/>
        </w:rPr>
        <w:t xml:space="preserve">lay Atias, </w:t>
      </w:r>
      <w:r w:rsidRPr="003170A4">
        <w:rPr>
          <w:rFonts w:asciiTheme="majorBidi" w:hAnsiTheme="majorBidi" w:cstheme="majorBidi"/>
          <w:shd w:val="clear" w:color="auto" w:fill="FFFFFF"/>
        </w:rPr>
        <w:t>Kyle Mary Oefelein</w:t>
      </w:r>
      <w:r w:rsidR="00EE2861" w:rsidRPr="003170A4">
        <w:rPr>
          <w:rFonts w:asciiTheme="majorBidi" w:hAnsiTheme="majorBidi" w:cstheme="majorBidi"/>
          <w:shd w:val="clear" w:color="auto" w:fill="FFFFFF"/>
        </w:rPr>
        <w:t>,</w:t>
      </w:r>
      <w:r w:rsidRPr="003170A4">
        <w:rPr>
          <w:rFonts w:asciiTheme="majorBidi" w:hAnsiTheme="majorBidi" w:cstheme="majorBidi"/>
          <w:shd w:val="clear" w:color="auto" w:fill="FFFFFF"/>
        </w:rPr>
        <w:t xml:space="preserve"> and Ashley Pennington for superb research assistance. </w:t>
      </w:r>
    </w:p>
  </w:footnote>
  <w:footnote w:id="5">
    <w:p w14:paraId="32348529" w14:textId="6E9A47B5"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 v. Musk</w:t>
      </w:r>
      <w:r w:rsidRPr="003170A4">
        <w:rPr>
          <w:rFonts w:asciiTheme="majorBidi" w:hAnsiTheme="majorBidi" w:cstheme="majorBidi"/>
        </w:rPr>
        <w:t>, 310 A.3d 430, 445 (Del. Ch. 2024).</w:t>
      </w:r>
      <w:r w:rsidRPr="003170A4">
        <w:rPr>
          <w:rFonts w:asciiTheme="majorBidi" w:eastAsia="Times New Roman" w:hAnsiTheme="majorBidi" w:cstheme="majorBidi"/>
          <w:kern w:val="0"/>
          <w:lang w:eastAsia="zh-CN"/>
          <w14:ligatures w14:val="none"/>
        </w:rPr>
        <w:t xml:space="preserve"> </w:t>
      </w:r>
    </w:p>
  </w:footnote>
  <w:footnote w:id="6">
    <w:p w14:paraId="23E5458C" w14:textId="3BB7778D" w:rsidR="00B54C7C" w:rsidRPr="003170A4" w:rsidRDefault="00B54C7C" w:rsidP="007442E8">
      <w:pPr>
        <w:pStyle w:val="FootnoteText"/>
        <w:jc w:val="both"/>
        <w:rPr>
          <w:rFonts w:asciiTheme="majorBidi" w:hAnsiTheme="majorBidi" w:cstheme="majorBidi"/>
          <w:lang w:bidi="he-IL"/>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w:t>
      </w:r>
    </w:p>
  </w:footnote>
  <w:footnote w:id="7">
    <w:p w14:paraId="2DA9C28F" w14:textId="3A901F6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Press Release: Tesla Announces New Long-Term Performance Award for Elon Musk</w:t>
      </w:r>
      <w:r w:rsidRPr="003170A4">
        <w:rPr>
          <w:rFonts w:asciiTheme="majorBidi" w:hAnsiTheme="majorBidi" w:cstheme="majorBidi"/>
        </w:rPr>
        <w:t xml:space="preserve">, </w:t>
      </w:r>
      <w:r w:rsidRPr="003170A4">
        <w:rPr>
          <w:rFonts w:asciiTheme="majorBidi" w:hAnsiTheme="majorBidi" w:cstheme="majorBidi"/>
          <w:smallCaps/>
        </w:rPr>
        <w:t>Tesla</w:t>
      </w:r>
      <w:r w:rsidRPr="003170A4">
        <w:rPr>
          <w:rFonts w:asciiTheme="majorBidi" w:hAnsiTheme="majorBidi" w:cstheme="majorBidi"/>
        </w:rPr>
        <w:t xml:space="preserve"> </w:t>
      </w:r>
      <w:r w:rsidRPr="003170A4">
        <w:rPr>
          <w:rFonts w:asciiTheme="majorBidi" w:hAnsiTheme="majorBidi" w:cstheme="majorBidi"/>
          <w:smallCaps/>
        </w:rPr>
        <w:t xml:space="preserve">Investor Relations </w:t>
      </w:r>
      <w:r w:rsidRPr="003170A4">
        <w:rPr>
          <w:rFonts w:asciiTheme="majorBidi" w:hAnsiTheme="majorBidi" w:cstheme="majorBidi"/>
        </w:rPr>
        <w:t xml:space="preserve">(Jan. 23, 2018), https://ir.tesla.com/press-release/tesla-announces-new-long-term-performance-award-elon-musk#:~:text=PALO%20ALTO%2C%20Calif.%2C%20Jan,valuable%20companies%20in%20the%20world. </w:t>
      </w:r>
    </w:p>
  </w:footnote>
  <w:footnote w:id="8">
    <w:p w14:paraId="775C0EB1" w14:textId="7CAB4124" w:rsidR="00B54C7C" w:rsidRPr="003170A4" w:rsidRDefault="00B54C7C" w:rsidP="006B7C3F">
      <w:pPr>
        <w:pStyle w:val="FootnoteText"/>
        <w:jc w:val="both"/>
        <w:rPr>
          <w:rFonts w:asciiTheme="majorBidi" w:hAnsiTheme="majorBidi" w:cstheme="majorBidi"/>
          <w:i/>
          <w:iCs/>
          <w:rtl/>
          <w:lang w:bidi="he-IL"/>
        </w:rPr>
      </w:pPr>
      <w:r w:rsidRPr="003170A4">
        <w:rPr>
          <w:rStyle w:val="FootnoteReference"/>
          <w:rFonts w:asciiTheme="majorBidi" w:hAnsiTheme="majorBidi" w:cstheme="majorBidi"/>
        </w:rPr>
        <w:footnoteRef/>
      </w:r>
      <w:r w:rsidRPr="003170A4">
        <w:rPr>
          <w:rFonts w:asciiTheme="majorBidi" w:hAnsiTheme="majorBidi" w:cstheme="majorBidi"/>
        </w:rPr>
        <w:t xml:space="preserve"> Andrew Ross Sorkin, </w:t>
      </w:r>
      <w:r w:rsidRPr="003170A4">
        <w:rPr>
          <w:rFonts w:asciiTheme="majorBidi" w:hAnsiTheme="majorBidi" w:cstheme="majorBidi"/>
          <w:i/>
          <w:iCs/>
        </w:rPr>
        <w:t>Tesla’s Elon Musk May Have the Boldest Pay Plan in Corporate History,</w:t>
      </w:r>
      <w:r w:rsidRPr="003170A4">
        <w:rPr>
          <w:rFonts w:asciiTheme="majorBidi" w:hAnsiTheme="majorBidi" w:cstheme="majorBidi"/>
        </w:rPr>
        <w:t xml:space="preserve"> N</w:t>
      </w:r>
      <w:r w:rsidRPr="003170A4">
        <w:rPr>
          <w:rFonts w:asciiTheme="majorBidi" w:hAnsiTheme="majorBidi" w:cstheme="majorBidi"/>
          <w:smallCaps/>
        </w:rPr>
        <w:t>.Y. Times</w:t>
      </w:r>
      <w:r w:rsidRPr="003170A4">
        <w:rPr>
          <w:rFonts w:asciiTheme="majorBidi" w:hAnsiTheme="majorBidi" w:cstheme="majorBidi"/>
        </w:rPr>
        <w:t xml:space="preserve"> (Jan. 23, 2018). For a </w:t>
      </w:r>
      <w:r w:rsidR="00B26031" w:rsidRPr="003170A4">
        <w:rPr>
          <w:rFonts w:asciiTheme="majorBidi" w:hAnsiTheme="majorBidi" w:cstheme="majorBidi"/>
        </w:rPr>
        <w:t>comprehensive</w:t>
      </w:r>
      <w:r w:rsidRPr="003170A4">
        <w:rPr>
          <w:rFonts w:asciiTheme="majorBidi" w:hAnsiTheme="majorBidi" w:cstheme="majorBidi"/>
        </w:rPr>
        <w:t xml:space="preserve"> analysis of Musk’s compensation package, see Jeffrey L. Coles, Naveen Daniel &amp; Lalitha Naveen, </w:t>
      </w:r>
      <w:r w:rsidRPr="003170A4">
        <w:rPr>
          <w:rFonts w:asciiTheme="majorBidi" w:hAnsiTheme="majorBidi" w:cstheme="majorBidi"/>
          <w:i/>
          <w:iCs/>
        </w:rPr>
        <w:t xml:space="preserve">Musk’s $56 billion: Pay, Incentives, or </w:t>
      </w:r>
      <w:proofErr w:type="gramStart"/>
      <w:r w:rsidRPr="003170A4">
        <w:rPr>
          <w:rFonts w:asciiTheme="majorBidi" w:hAnsiTheme="majorBidi" w:cstheme="majorBidi"/>
          <w:i/>
          <w:iCs/>
        </w:rPr>
        <w:t>Rewards</w:t>
      </w:r>
      <w:r w:rsidRPr="003170A4">
        <w:rPr>
          <w:rFonts w:asciiTheme="majorBidi" w:hAnsiTheme="majorBidi" w:cstheme="majorBidi"/>
        </w:rPr>
        <w:t>?,</w:t>
      </w:r>
      <w:proofErr w:type="gramEnd"/>
      <w:r w:rsidRPr="003170A4">
        <w:rPr>
          <w:rFonts w:asciiTheme="majorBidi" w:hAnsiTheme="majorBidi" w:cstheme="majorBidi"/>
        </w:rPr>
        <w:t xml:space="preserve"> ECGI Working Paper N° 1010/2024 https://ssrn.com/abstract=4942066. </w:t>
      </w:r>
    </w:p>
  </w:footnote>
  <w:footnote w:id="9">
    <w:p w14:paraId="3601482C" w14:textId="309D1BC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 at 445.</w:t>
      </w:r>
    </w:p>
  </w:footnote>
  <w:footnote w:id="10">
    <w:p w14:paraId="3F6F1B33" w14:textId="163F606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Andrew Ross Sorkin, </w:t>
      </w:r>
      <w:r w:rsidRPr="003170A4">
        <w:rPr>
          <w:rFonts w:asciiTheme="majorBidi" w:hAnsiTheme="majorBidi" w:cstheme="majorBidi"/>
          <w:i/>
          <w:iCs/>
        </w:rPr>
        <w:t>Tesla’s Elon Musk May Have the Boldest Pay Plan in Corporate History,</w:t>
      </w:r>
      <w:r w:rsidRPr="003170A4">
        <w:rPr>
          <w:rFonts w:asciiTheme="majorBidi" w:hAnsiTheme="majorBidi" w:cstheme="majorBidi"/>
        </w:rPr>
        <w:t xml:space="preserve"> N</w:t>
      </w:r>
      <w:r w:rsidRPr="003170A4">
        <w:rPr>
          <w:rFonts w:asciiTheme="majorBidi" w:hAnsiTheme="majorBidi" w:cstheme="majorBidi"/>
          <w:smallCaps/>
        </w:rPr>
        <w:t>.Y. Times</w:t>
      </w:r>
      <w:r w:rsidRPr="003170A4">
        <w:rPr>
          <w:rFonts w:asciiTheme="majorBidi" w:hAnsiTheme="majorBidi" w:cstheme="majorBidi"/>
        </w:rPr>
        <w:t xml:space="preserve"> (Jan. 23, 2018).</w:t>
      </w:r>
    </w:p>
  </w:footnote>
  <w:footnote w:id="11">
    <w:p w14:paraId="0ADC851A" w14:textId="1861673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w:t>
      </w:r>
    </w:p>
  </w:footnote>
  <w:footnote w:id="12">
    <w:p w14:paraId="48EAEDF8"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Aaron Mak, </w:t>
      </w:r>
      <w:r w:rsidRPr="003170A4">
        <w:rPr>
          <w:rFonts w:asciiTheme="majorBidi" w:hAnsiTheme="majorBidi" w:cstheme="majorBidi"/>
          <w:i/>
          <w:iCs/>
        </w:rPr>
        <w:t>Elon Musk Will Not Get Paid Unless Tesla Meets Ambitious Goals</w:t>
      </w:r>
      <w:r w:rsidRPr="003170A4">
        <w:rPr>
          <w:rFonts w:asciiTheme="majorBidi" w:hAnsiTheme="majorBidi" w:cstheme="majorBidi"/>
        </w:rPr>
        <w:t xml:space="preserve">, </w:t>
      </w:r>
      <w:r w:rsidRPr="003170A4">
        <w:rPr>
          <w:rFonts w:asciiTheme="majorBidi" w:hAnsiTheme="majorBidi" w:cstheme="majorBidi"/>
          <w:smallCaps/>
        </w:rPr>
        <w:t>Slate</w:t>
      </w:r>
      <w:r w:rsidRPr="003170A4">
        <w:rPr>
          <w:rFonts w:asciiTheme="majorBidi" w:hAnsiTheme="majorBidi" w:cstheme="majorBidi"/>
        </w:rPr>
        <w:t xml:space="preserve"> (Jan. 23, 2018). </w:t>
      </w:r>
    </w:p>
  </w:footnote>
  <w:footnote w:id="13">
    <w:p w14:paraId="65AB8A3D"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Tesla Posts Record $710m Net Loss as it Struggles to Produce Model 3 Cars</w:t>
      </w:r>
      <w:r w:rsidRPr="003170A4">
        <w:rPr>
          <w:rFonts w:asciiTheme="majorBidi" w:hAnsiTheme="majorBidi" w:cstheme="majorBidi"/>
        </w:rPr>
        <w:t xml:space="preserve">, </w:t>
      </w:r>
      <w:r w:rsidRPr="003170A4">
        <w:rPr>
          <w:rFonts w:asciiTheme="majorBidi" w:hAnsiTheme="majorBidi" w:cstheme="majorBidi"/>
          <w:smallCaps/>
        </w:rPr>
        <w:t>Guardian</w:t>
      </w:r>
      <w:r w:rsidRPr="003170A4">
        <w:rPr>
          <w:rFonts w:asciiTheme="majorBidi" w:hAnsiTheme="majorBidi" w:cstheme="majorBidi"/>
        </w:rPr>
        <w:t xml:space="preserve"> (May 2, 2018), https://www.theguardian.com/technology/2018/may/02/tesla-loss-model-3-elon-musk. </w:t>
      </w:r>
    </w:p>
  </w:footnote>
  <w:footnote w:id="14">
    <w:p w14:paraId="00E33B34"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Tae Kim, </w:t>
      </w:r>
      <w:r w:rsidRPr="003170A4">
        <w:rPr>
          <w:rFonts w:asciiTheme="majorBidi" w:hAnsiTheme="majorBidi" w:cstheme="majorBidi"/>
          <w:i/>
          <w:iCs/>
        </w:rPr>
        <w:t>Einhorn on Tesla: ‘Like Lehman, We Think the Deception Is About to Catch Up’</w:t>
      </w:r>
      <w:r w:rsidRPr="003170A4">
        <w:rPr>
          <w:rFonts w:asciiTheme="majorBidi" w:hAnsiTheme="majorBidi" w:cstheme="majorBidi"/>
        </w:rPr>
        <w:t>, CNBC (Oct. 5, 2018, 12:26 PM EDT), https://www.cnbc.com/2018/10/05/einhorn-on-tesla-like-lehman-we-think-the-deception-is-about-to-catch-up-to-tsla.html [https://perma.cc/AM9N-3NGD].</w:t>
      </w:r>
    </w:p>
  </w:footnote>
  <w:footnote w:id="15">
    <w:p w14:paraId="236C0DE8"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Catherine Clifford, </w:t>
      </w:r>
      <w:r w:rsidRPr="003170A4">
        <w:rPr>
          <w:rFonts w:asciiTheme="majorBidi" w:hAnsiTheme="majorBidi" w:cstheme="majorBidi"/>
          <w:i/>
          <w:iCs/>
        </w:rPr>
        <w:t>Elon Musk Is Stressed, Says He’s Sleeping on Tesla Factory Floor and Has No Time to Go Home and Shower</w:t>
      </w:r>
      <w:r w:rsidRPr="003170A4">
        <w:rPr>
          <w:rFonts w:asciiTheme="majorBidi" w:hAnsiTheme="majorBidi" w:cstheme="majorBidi"/>
        </w:rPr>
        <w:t xml:space="preserve">, CNBC (Apr. 11, 2018), https://www.cnbc.com/2018/04/11/elon-musk-says-he-is-sleeping-on-tesla-factory-floor-to-save-time.html.  </w:t>
      </w:r>
    </w:p>
  </w:footnote>
  <w:footnote w:id="16">
    <w:p w14:paraId="52195646" w14:textId="6BC0A99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xml:space="preserve">, 310 A.3d at 496. </w:t>
      </w:r>
    </w:p>
  </w:footnote>
  <w:footnote w:id="17">
    <w:p w14:paraId="2830AAC5" w14:textId="1D07E9FA" w:rsidR="00B54C7C" w:rsidRPr="003170A4" w:rsidRDefault="00B54C7C" w:rsidP="007442E8">
      <w:pPr>
        <w:shd w:val="clear" w:color="auto" w:fill="FFFFFF"/>
        <w:spacing w:after="0" w:line="240" w:lineRule="auto"/>
        <w:jc w:val="both"/>
        <w:rPr>
          <w:rFonts w:asciiTheme="majorBidi" w:hAnsiTheme="majorBidi" w:cstheme="majorBidi"/>
          <w:sz w:val="20"/>
          <w:szCs w:val="20"/>
        </w:rPr>
      </w:pPr>
      <w:r w:rsidRPr="003170A4">
        <w:rPr>
          <w:rStyle w:val="FootnoteReference"/>
          <w:rFonts w:asciiTheme="majorBidi" w:hAnsiTheme="majorBidi" w:cstheme="majorBidi"/>
          <w:sz w:val="20"/>
          <w:szCs w:val="20"/>
        </w:rPr>
        <w:footnoteRef/>
      </w:r>
      <w:r w:rsidRPr="003170A4">
        <w:rPr>
          <w:rFonts w:asciiTheme="majorBidi" w:hAnsiTheme="majorBidi" w:cstheme="majorBidi"/>
          <w:sz w:val="20"/>
          <w:szCs w:val="20"/>
        </w:rPr>
        <w:t xml:space="preserve"> </w:t>
      </w:r>
      <w:r w:rsidRPr="003170A4">
        <w:rPr>
          <w:rFonts w:asciiTheme="majorBidi" w:hAnsiTheme="majorBidi" w:cstheme="majorBidi"/>
          <w:i/>
          <w:iCs/>
          <w:sz w:val="20"/>
          <w:szCs w:val="20"/>
        </w:rPr>
        <w:t>See</w:t>
      </w:r>
      <w:r w:rsidRPr="003170A4">
        <w:rPr>
          <w:rFonts w:asciiTheme="majorBidi" w:hAnsiTheme="majorBidi" w:cstheme="majorBidi"/>
          <w:sz w:val="20"/>
          <w:szCs w:val="20"/>
        </w:rPr>
        <w:t xml:space="preserve"> </w:t>
      </w:r>
      <w:r w:rsidRPr="003170A4">
        <w:rPr>
          <w:rFonts w:asciiTheme="majorBidi" w:hAnsiTheme="majorBidi" w:cstheme="majorBidi"/>
          <w:i/>
          <w:iCs/>
          <w:sz w:val="20"/>
          <w:szCs w:val="20"/>
        </w:rPr>
        <w:t>In re Match Grp., Inc. Derivative Litig.</w:t>
      </w:r>
      <w:r w:rsidRPr="003170A4">
        <w:rPr>
          <w:rFonts w:asciiTheme="majorBidi" w:hAnsiTheme="majorBidi" w:cstheme="majorBidi"/>
          <w:sz w:val="20"/>
          <w:szCs w:val="20"/>
        </w:rPr>
        <w:t xml:space="preserve">, 315 A.3d 446, 451 (Del. 2024). The entire fairness standard applies to self-dealing transactions with controlling shareholders. The court treated Musk as the controller of Tesla. See </w:t>
      </w:r>
      <w:r w:rsidRPr="003170A4">
        <w:rPr>
          <w:rFonts w:asciiTheme="majorBidi" w:hAnsiTheme="majorBidi" w:cstheme="majorBidi"/>
          <w:i/>
          <w:iCs/>
          <w:sz w:val="20"/>
          <w:szCs w:val="20"/>
        </w:rPr>
        <w:t>Tornetta</w:t>
      </w:r>
      <w:r w:rsidRPr="003170A4">
        <w:rPr>
          <w:rFonts w:asciiTheme="majorBidi" w:hAnsiTheme="majorBidi" w:cstheme="majorBidi"/>
          <w:sz w:val="20"/>
          <w:szCs w:val="20"/>
        </w:rPr>
        <w:t xml:space="preserve"> at 446. In this paper, we do not discuss the question whether Musk controls Tesla. For an analysis of the definition of “control” under Delaware law, see generally Ann M. Lipton, </w:t>
      </w:r>
      <w:r w:rsidRPr="003170A4">
        <w:rPr>
          <w:rFonts w:asciiTheme="majorBidi" w:hAnsiTheme="majorBidi" w:cstheme="majorBidi"/>
          <w:i/>
          <w:iCs/>
          <w:sz w:val="20"/>
          <w:szCs w:val="20"/>
        </w:rPr>
        <w:t>The Three Faces of Control</w:t>
      </w:r>
      <w:r w:rsidRPr="003170A4">
        <w:rPr>
          <w:rFonts w:asciiTheme="majorBidi" w:hAnsiTheme="majorBidi" w:cstheme="majorBidi"/>
          <w:sz w:val="20"/>
          <w:szCs w:val="20"/>
        </w:rPr>
        <w:t xml:space="preserve">, 77 </w:t>
      </w:r>
      <w:r w:rsidRPr="003170A4">
        <w:rPr>
          <w:rFonts w:asciiTheme="majorBidi" w:hAnsiTheme="majorBidi" w:cstheme="majorBidi"/>
          <w:smallCaps/>
          <w:sz w:val="20"/>
          <w:szCs w:val="20"/>
        </w:rPr>
        <w:t xml:space="preserve">Bus. Law. </w:t>
      </w:r>
      <w:r w:rsidRPr="003170A4">
        <w:rPr>
          <w:rFonts w:asciiTheme="majorBidi" w:hAnsiTheme="majorBidi" w:cstheme="majorBidi"/>
          <w:sz w:val="20"/>
          <w:szCs w:val="20"/>
        </w:rPr>
        <w:t>801 (2022).</w:t>
      </w:r>
    </w:p>
  </w:footnote>
  <w:footnote w:id="18">
    <w:p w14:paraId="30C68D63" w14:textId="50EEF97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Two former Delaware Supreme Court judges and a corporate law scholar made a similar argument. </w:t>
      </w:r>
      <w:r w:rsidRPr="003170A4">
        <w:rPr>
          <w:rFonts w:asciiTheme="majorBidi" w:hAnsiTheme="majorBidi" w:cstheme="majorBidi"/>
          <w:i/>
          <w:iCs/>
        </w:rPr>
        <w:t>See</w:t>
      </w:r>
      <w:r w:rsidRPr="003170A4">
        <w:rPr>
          <w:rFonts w:asciiTheme="majorBidi" w:hAnsiTheme="majorBidi" w:cstheme="majorBidi"/>
        </w:rPr>
        <w:t xml:space="preserve"> Lawrence Hamermesh, Jack Jacobs, &amp; Leo Strine Jr., </w:t>
      </w:r>
      <w:r w:rsidRPr="003170A4">
        <w:rPr>
          <w:rFonts w:asciiTheme="majorBidi" w:hAnsiTheme="majorBidi" w:cstheme="majorBidi"/>
          <w:i/>
          <w:iCs/>
        </w:rPr>
        <w:t>Optimizing the World’s Leading Corporate Law: A 20-Year Retrospective and Look Ahead</w:t>
      </w:r>
      <w:r w:rsidRPr="003170A4">
        <w:rPr>
          <w:rFonts w:asciiTheme="majorBidi" w:hAnsiTheme="majorBidi" w:cstheme="majorBidi"/>
        </w:rPr>
        <w:t xml:space="preserve">, </w:t>
      </w:r>
      <w:r w:rsidRPr="003170A4">
        <w:rPr>
          <w:rFonts w:asciiTheme="majorBidi" w:hAnsiTheme="majorBidi" w:cstheme="majorBidi"/>
          <w:smallCaps/>
        </w:rPr>
        <w:t>77 Bus. L.___</w:t>
      </w:r>
      <w:r w:rsidRPr="003170A4">
        <w:rPr>
          <w:rFonts w:asciiTheme="majorBidi" w:hAnsiTheme="majorBidi" w:cstheme="majorBidi"/>
        </w:rPr>
        <w:t xml:space="preserve">, manuscript at 32 n.102. (2021) (“Appraising a company sold in a conflicted merger with no market test is difficult enough; judicial pricing of compensation packages plans is unmoored in standards that would make any exercise of discretion reviewable in any coherent and consistent way.”) </w:t>
      </w:r>
    </w:p>
  </w:footnote>
  <w:footnote w:id="19">
    <w:p w14:paraId="2A7BA20A" w14:textId="1F6FB56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Zohar Goshen &amp; Assaf Hamdani, </w:t>
      </w:r>
      <w:r w:rsidRPr="003170A4">
        <w:rPr>
          <w:rFonts w:asciiTheme="majorBidi" w:hAnsiTheme="majorBidi" w:cstheme="majorBidi"/>
          <w:i/>
          <w:iCs/>
        </w:rPr>
        <w:t>Corporate Control and Idiosyncratic Vision</w:t>
      </w:r>
      <w:r w:rsidRPr="003170A4">
        <w:rPr>
          <w:rFonts w:asciiTheme="majorBidi" w:hAnsiTheme="majorBidi" w:cstheme="majorBidi"/>
        </w:rPr>
        <w:t xml:space="preserve">, 125 </w:t>
      </w:r>
      <w:r w:rsidRPr="003170A4">
        <w:rPr>
          <w:rFonts w:asciiTheme="majorBidi" w:hAnsiTheme="majorBidi" w:cstheme="majorBidi"/>
          <w:smallCaps/>
        </w:rPr>
        <w:t>Yale L.J. 5</w:t>
      </w:r>
      <w:r w:rsidRPr="003170A4">
        <w:rPr>
          <w:rFonts w:asciiTheme="majorBidi" w:hAnsiTheme="majorBidi" w:cstheme="majorBidi"/>
        </w:rPr>
        <w:t xml:space="preserve">60, 577 (2016). </w:t>
      </w:r>
    </w:p>
  </w:footnote>
  <w:footnote w:id="20">
    <w:p w14:paraId="640435CB" w14:textId="73DBCD25"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at 567.</w:t>
      </w:r>
    </w:p>
  </w:footnote>
  <w:footnote w:id="21">
    <w:p w14:paraId="284CFA97"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Zohar Goshen &amp; Assaf Hamdani, </w:t>
      </w:r>
      <w:r w:rsidRPr="003170A4">
        <w:rPr>
          <w:rFonts w:asciiTheme="majorBidi" w:hAnsiTheme="majorBidi" w:cstheme="majorBidi"/>
          <w:i/>
          <w:iCs/>
        </w:rPr>
        <w:t>Corporate Control, Dual Class, and the Limits of Judicial Review</w:t>
      </w:r>
      <w:r w:rsidRPr="003170A4">
        <w:rPr>
          <w:rFonts w:asciiTheme="majorBidi" w:hAnsiTheme="majorBidi" w:cstheme="majorBidi"/>
        </w:rPr>
        <w:t xml:space="preserve">, 120 </w:t>
      </w:r>
      <w:r w:rsidRPr="003170A4">
        <w:rPr>
          <w:rFonts w:asciiTheme="majorBidi" w:hAnsiTheme="majorBidi" w:cstheme="majorBidi"/>
          <w:smallCaps/>
        </w:rPr>
        <w:t>Colum. L. Rev.</w:t>
      </w:r>
      <w:r w:rsidRPr="003170A4">
        <w:rPr>
          <w:rFonts w:asciiTheme="majorBidi" w:hAnsiTheme="majorBidi" w:cstheme="majorBidi"/>
        </w:rPr>
        <w:t xml:space="preserve"> 941, 968 (2020).</w:t>
      </w:r>
    </w:p>
  </w:footnote>
  <w:footnote w:id="22">
    <w:p w14:paraId="77D48806" w14:textId="31F5146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 Fred Smith: An Overnight Success</w:t>
      </w:r>
      <w:r w:rsidRPr="003170A4">
        <w:rPr>
          <w:rFonts w:asciiTheme="majorBidi" w:hAnsiTheme="majorBidi" w:cstheme="majorBidi"/>
        </w:rPr>
        <w:t xml:space="preserve">, </w:t>
      </w:r>
      <w:r w:rsidRPr="003170A4">
        <w:rPr>
          <w:rFonts w:asciiTheme="majorBidi" w:hAnsiTheme="majorBidi" w:cstheme="majorBidi"/>
          <w:smallCaps/>
        </w:rPr>
        <w:t>Entrepreneur</w:t>
      </w:r>
      <w:r w:rsidRPr="003170A4">
        <w:rPr>
          <w:rFonts w:asciiTheme="majorBidi" w:hAnsiTheme="majorBidi" w:cstheme="majorBidi"/>
        </w:rPr>
        <w:t xml:space="preserve"> (Oct. 9, 2008), https://www.entrepreneur.com/growing-a-business/fred-smith/197542.</w:t>
      </w:r>
    </w:p>
  </w:footnote>
  <w:footnote w:id="23">
    <w:p w14:paraId="2F7352E1" w14:textId="6359D52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smallCaps/>
        </w:rPr>
        <w:t>Howard Schultz &amp; Dori Jones Yang, Pour Your Heart Into It: How Starbucks Built a Company One Cup at a Time,</w:t>
      </w:r>
      <w:r w:rsidRPr="003170A4">
        <w:rPr>
          <w:rFonts w:asciiTheme="majorBidi" w:hAnsiTheme="majorBidi" w:cstheme="majorBidi"/>
        </w:rPr>
        <w:t xml:space="preserve"> (1997).</w:t>
      </w:r>
    </w:p>
  </w:footnote>
  <w:footnote w:id="24">
    <w:p w14:paraId="763F4F96" w14:textId="2E6927D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smallCaps/>
        </w:rPr>
        <w:t>Walter Isaacson, Steve Jobs</w:t>
      </w:r>
      <w:r w:rsidRPr="003170A4">
        <w:rPr>
          <w:rFonts w:asciiTheme="majorBidi" w:hAnsiTheme="majorBidi" w:cstheme="majorBidi"/>
        </w:rPr>
        <w:t xml:space="preserve"> 93 (2011).</w:t>
      </w:r>
    </w:p>
  </w:footnote>
  <w:footnote w:id="25">
    <w:p w14:paraId="75DD2320" w14:textId="0852849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at 118</w:t>
      </w:r>
    </w:p>
  </w:footnote>
  <w:footnote w:id="26">
    <w:p w14:paraId="261A1D4C" w14:textId="0DAB942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https://www.forbes.com/global/2012/0326/billionaires-12-feature-united-states-spanx-sara-blakely-american-booty.html</w:t>
      </w:r>
    </w:p>
  </w:footnote>
  <w:footnote w:id="27">
    <w:p w14:paraId="15102DDF"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Zohar Goshen &amp; Reilly S. Steel, </w:t>
      </w:r>
      <w:r w:rsidRPr="003170A4">
        <w:rPr>
          <w:rFonts w:asciiTheme="majorBidi" w:hAnsiTheme="majorBidi" w:cstheme="majorBidi"/>
          <w:i/>
          <w:iCs/>
        </w:rPr>
        <w:t>Barbarians Inside the Gates: Raiders, Activists, and the Risk of Mistargeting</w:t>
      </w:r>
      <w:r w:rsidRPr="003170A4">
        <w:rPr>
          <w:rFonts w:asciiTheme="majorBidi" w:hAnsiTheme="majorBidi" w:cstheme="majorBidi"/>
        </w:rPr>
        <w:t xml:space="preserve">, 132 </w:t>
      </w:r>
      <w:r w:rsidRPr="003170A4">
        <w:rPr>
          <w:rFonts w:asciiTheme="majorBidi" w:hAnsiTheme="majorBidi" w:cstheme="majorBidi"/>
          <w:smallCaps/>
        </w:rPr>
        <w:t>Yale L.J. 447</w:t>
      </w:r>
      <w:r w:rsidRPr="003170A4">
        <w:rPr>
          <w:rFonts w:asciiTheme="majorBidi" w:hAnsiTheme="majorBidi" w:cstheme="majorBidi"/>
        </w:rPr>
        <w:t xml:space="preserve">-48 (2022). </w:t>
      </w:r>
    </w:p>
  </w:footnote>
  <w:footnote w:id="28">
    <w:p w14:paraId="076E57C7" w14:textId="0DFD8D2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In this way, the entire fairness standard of review may no longer be “functional” because as we show, the standard is not a useful tool that aids the court in deciding the duty at issue in a way that provides the right incentives for directors and stockholders, but also defers “to outcomes reached through effective intra-corporate dispute resolution mechanisms.” William T. Allen, Jack B. Jacobs and Leo E. Strine, Jr., </w:t>
      </w:r>
      <w:r w:rsidRPr="003170A4">
        <w:rPr>
          <w:rFonts w:asciiTheme="majorBidi" w:hAnsiTheme="majorBidi" w:cstheme="majorBidi"/>
          <w:i/>
          <w:iCs/>
        </w:rPr>
        <w:t>Function Over Form: A Reassessment of Standards of Review in Delaware Corporation Law</w:t>
      </w:r>
      <w:r w:rsidRPr="003170A4">
        <w:rPr>
          <w:rFonts w:asciiTheme="majorBidi" w:hAnsiTheme="majorBidi" w:cstheme="majorBidi"/>
        </w:rPr>
        <w:t xml:space="preserve">, 56 </w:t>
      </w:r>
      <w:r w:rsidRPr="003170A4">
        <w:rPr>
          <w:rFonts w:asciiTheme="majorBidi" w:hAnsiTheme="majorBidi" w:cstheme="majorBidi"/>
          <w:smallCaps/>
        </w:rPr>
        <w:t>Bus. Law</w:t>
      </w:r>
      <w:r w:rsidRPr="003170A4">
        <w:rPr>
          <w:rFonts w:asciiTheme="majorBidi" w:hAnsiTheme="majorBidi" w:cstheme="majorBidi"/>
        </w:rPr>
        <w:t>. 1287 (2001).</w:t>
      </w:r>
    </w:p>
  </w:footnote>
  <w:footnote w:id="29">
    <w:p w14:paraId="19F9EA9B" w14:textId="6C2E25C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Ronald J. Gilson &amp; Jeffrey N. Gordon, </w:t>
      </w:r>
      <w:r w:rsidRPr="003170A4">
        <w:rPr>
          <w:rFonts w:asciiTheme="majorBidi" w:hAnsiTheme="majorBidi" w:cstheme="majorBidi"/>
          <w:i/>
          <w:iCs/>
        </w:rPr>
        <w:t xml:space="preserve">Controlling </w:t>
      </w:r>
      <w:proofErr w:type="spellStart"/>
      <w:r w:rsidRPr="003170A4">
        <w:rPr>
          <w:rFonts w:asciiTheme="majorBidi" w:hAnsiTheme="majorBidi" w:cstheme="majorBidi"/>
          <w:i/>
          <w:iCs/>
        </w:rPr>
        <w:t>Controlling</w:t>
      </w:r>
      <w:proofErr w:type="spellEnd"/>
      <w:r w:rsidRPr="003170A4">
        <w:rPr>
          <w:rFonts w:asciiTheme="majorBidi" w:hAnsiTheme="majorBidi" w:cstheme="majorBidi"/>
          <w:i/>
          <w:iCs/>
        </w:rPr>
        <w:t xml:space="preserve"> Shareholders</w:t>
      </w:r>
      <w:r w:rsidRPr="003170A4">
        <w:rPr>
          <w:rFonts w:asciiTheme="majorBidi" w:hAnsiTheme="majorBidi" w:cstheme="majorBidi"/>
        </w:rPr>
        <w:t>, 152 U</w:t>
      </w:r>
      <w:r w:rsidRPr="003170A4">
        <w:rPr>
          <w:rFonts w:asciiTheme="majorBidi" w:hAnsiTheme="majorBidi" w:cstheme="majorBidi"/>
          <w:smallCaps/>
        </w:rPr>
        <w:t>. Pa. L. Rev.</w:t>
      </w:r>
      <w:r w:rsidRPr="003170A4">
        <w:rPr>
          <w:rFonts w:asciiTheme="majorBidi" w:hAnsiTheme="majorBidi" w:cstheme="majorBidi"/>
        </w:rPr>
        <w:t xml:space="preserve"> 785, 786 (2003); Zohar Goshen, </w:t>
      </w:r>
      <w:r w:rsidRPr="003170A4">
        <w:rPr>
          <w:rFonts w:asciiTheme="majorBidi" w:hAnsiTheme="majorBidi" w:cstheme="majorBidi"/>
          <w:i/>
          <w:iCs/>
        </w:rPr>
        <w:t xml:space="preserve">The Efficiency of Controlling Corporate Self-Dealing: Theory Meets Reality, </w:t>
      </w:r>
      <w:r w:rsidRPr="003170A4">
        <w:rPr>
          <w:rFonts w:asciiTheme="majorBidi" w:hAnsiTheme="majorBidi" w:cstheme="majorBidi"/>
        </w:rPr>
        <w:t xml:space="preserve">91 </w:t>
      </w:r>
      <w:r w:rsidRPr="003170A4">
        <w:rPr>
          <w:rFonts w:asciiTheme="majorBidi" w:hAnsiTheme="majorBidi" w:cstheme="majorBidi"/>
          <w:smallCaps/>
        </w:rPr>
        <w:t>Calif. L. Rev</w:t>
      </w:r>
      <w:r w:rsidRPr="003170A4">
        <w:rPr>
          <w:rFonts w:asciiTheme="majorBidi" w:hAnsiTheme="majorBidi" w:cstheme="majorBidi"/>
        </w:rPr>
        <w:t xml:space="preserve">. 393 (2003); Ronald J. Gilson, </w:t>
      </w:r>
      <w:r w:rsidRPr="003170A4">
        <w:rPr>
          <w:rFonts w:asciiTheme="majorBidi" w:hAnsiTheme="majorBidi" w:cstheme="majorBidi"/>
          <w:i/>
          <w:iCs/>
        </w:rPr>
        <w:t>Controlling Shareholders and Corporate Governance: Complicating the Comparative Taxonomy</w:t>
      </w:r>
      <w:r w:rsidRPr="003170A4">
        <w:rPr>
          <w:rFonts w:asciiTheme="majorBidi" w:hAnsiTheme="majorBidi" w:cstheme="majorBidi"/>
        </w:rPr>
        <w:t xml:space="preserve">, 119 </w:t>
      </w:r>
      <w:r w:rsidRPr="003170A4">
        <w:rPr>
          <w:rFonts w:asciiTheme="majorBidi" w:hAnsiTheme="majorBidi" w:cstheme="majorBidi"/>
          <w:smallCaps/>
        </w:rPr>
        <w:t>Harv. L. Rev</w:t>
      </w:r>
      <w:r w:rsidRPr="003170A4">
        <w:rPr>
          <w:rFonts w:asciiTheme="majorBidi" w:hAnsiTheme="majorBidi" w:cstheme="majorBidi"/>
        </w:rPr>
        <w:t xml:space="preserve">. 1641, 1650 (2006); Assaf Hamdani &amp; Lucian A. Bebchuk, </w:t>
      </w:r>
      <w:r w:rsidRPr="003170A4">
        <w:rPr>
          <w:rFonts w:asciiTheme="majorBidi" w:hAnsiTheme="majorBidi" w:cstheme="majorBidi"/>
          <w:i/>
          <w:iCs/>
        </w:rPr>
        <w:t xml:space="preserve">The Elusive Quest for Global Governance Standards, </w:t>
      </w:r>
      <w:r w:rsidRPr="003170A4">
        <w:rPr>
          <w:rFonts w:asciiTheme="majorBidi" w:hAnsiTheme="majorBidi" w:cstheme="majorBidi"/>
        </w:rPr>
        <w:t>157 U. PA. L. Rev. 1263, 1283-1285 (2009).</w:t>
      </w:r>
    </w:p>
  </w:footnote>
  <w:footnote w:id="30">
    <w:p w14:paraId="5E8DA049" w14:textId="2EEB75E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Weinberger v. UOP, Inc.</w:t>
      </w:r>
      <w:r w:rsidRPr="003170A4">
        <w:rPr>
          <w:rFonts w:asciiTheme="majorBidi" w:hAnsiTheme="majorBidi" w:cstheme="majorBidi"/>
        </w:rPr>
        <w:t xml:space="preserve">, 457 A.2d 701, 711 (Del. 1983) (“The concept of fairness has two basic aspects: fair dealing and fair price.”); </w:t>
      </w:r>
      <w:r w:rsidRPr="003170A4">
        <w:rPr>
          <w:rFonts w:asciiTheme="majorBidi" w:hAnsiTheme="majorBidi" w:cstheme="majorBidi"/>
          <w:i/>
          <w:iCs/>
        </w:rPr>
        <w:t>In re Match</w:t>
      </w:r>
      <w:r w:rsidRPr="003170A4">
        <w:rPr>
          <w:rFonts w:asciiTheme="majorBidi" w:hAnsiTheme="majorBidi" w:cstheme="majorBidi"/>
        </w:rPr>
        <w:t>, 315 A.3d at 459.</w:t>
      </w:r>
    </w:p>
  </w:footnote>
  <w:footnote w:id="31">
    <w:p w14:paraId="020707B1"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R. Scott Widen, </w:t>
      </w:r>
      <w:r w:rsidRPr="003170A4">
        <w:rPr>
          <w:rFonts w:asciiTheme="majorBidi" w:hAnsiTheme="majorBidi" w:cstheme="majorBidi"/>
          <w:i/>
          <w:iCs/>
        </w:rPr>
        <w:t>Delaware Law, Financial Theory and Investment Banking Valuation Practice</w:t>
      </w:r>
      <w:r w:rsidRPr="003170A4">
        <w:rPr>
          <w:rFonts w:asciiTheme="majorBidi" w:hAnsiTheme="majorBidi" w:cstheme="majorBidi"/>
        </w:rPr>
        <w:t>, 4 N</w:t>
      </w:r>
      <w:r w:rsidRPr="003170A4">
        <w:rPr>
          <w:rFonts w:asciiTheme="majorBidi" w:hAnsiTheme="majorBidi" w:cstheme="majorBidi"/>
          <w:smallCaps/>
        </w:rPr>
        <w:t>.Y.U. J.L. &amp; Bus. 579</w:t>
      </w:r>
      <w:r w:rsidRPr="003170A4">
        <w:rPr>
          <w:rFonts w:asciiTheme="majorBidi" w:hAnsiTheme="majorBidi" w:cstheme="majorBidi"/>
        </w:rPr>
        <w:t xml:space="preserve">, 579 (2008) (“Delaware courts have developed a surprisingly large body of law regarding the proper analytics for valuing businesses. Most of this law has been developed in the context of adjudicating appraisal rights of dissenting shareholders in corporate M&amp;A or going-private transactions.”); </w:t>
      </w:r>
      <w:r w:rsidRPr="003170A4">
        <w:rPr>
          <w:rFonts w:asciiTheme="majorBidi" w:hAnsiTheme="majorBidi" w:cstheme="majorBidi"/>
          <w:i/>
          <w:iCs/>
        </w:rPr>
        <w:t>Weinberger</w:t>
      </w:r>
      <w:r w:rsidRPr="003170A4">
        <w:rPr>
          <w:rFonts w:asciiTheme="majorBidi" w:hAnsiTheme="majorBidi" w:cstheme="majorBidi"/>
        </w:rPr>
        <w:t xml:space="preserve">, 457 A2d at 711 (Fair price “relates to the economic and financial considerations of the proposed merger, including all relevant factors: assets, market value, earnings, future prospects, and any other elements that affect the intrinsic or inherent value of a company’s stock.”). </w:t>
      </w:r>
    </w:p>
  </w:footnote>
  <w:footnote w:id="32">
    <w:p w14:paraId="62BEC393"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Weinberger</w:t>
      </w:r>
      <w:r w:rsidRPr="003170A4">
        <w:rPr>
          <w:rFonts w:asciiTheme="majorBidi" w:hAnsiTheme="majorBidi" w:cstheme="majorBidi"/>
        </w:rPr>
        <w:t>, 457 A.2d at 712–13.</w:t>
      </w:r>
    </w:p>
  </w:footnote>
  <w:footnote w:id="33">
    <w:p w14:paraId="4B61DA09"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w:t>
      </w:r>
      <w:r w:rsidRPr="003170A4">
        <w:rPr>
          <w:rFonts w:asciiTheme="majorBidi" w:hAnsiTheme="majorBidi" w:cstheme="majorBidi"/>
          <w:i/>
          <w:iCs/>
        </w:rPr>
        <w:t>Merion Cap. L.P. v. Lender Processing Servs., Inc.</w:t>
      </w:r>
      <w:r w:rsidRPr="003170A4">
        <w:rPr>
          <w:rFonts w:asciiTheme="majorBidi" w:hAnsiTheme="majorBidi" w:cstheme="majorBidi"/>
        </w:rPr>
        <w:t>, No. CV 9320-VCL, 2016 WL 7324170, at *15 (Del. Ch. Dec. 16, 2016), judgment entered, (Del. Ch. 2016) (“it is difficult for the Chancellor and Vice Chancellors to assess wildly divergent expert opinions regarding value”).</w:t>
      </w:r>
    </w:p>
  </w:footnote>
  <w:footnote w:id="34">
    <w:p w14:paraId="03F670E0"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William A. Groll &amp; David Leinwand, </w:t>
      </w:r>
      <w:r w:rsidRPr="003170A4">
        <w:rPr>
          <w:rFonts w:asciiTheme="majorBidi" w:hAnsiTheme="majorBidi" w:cstheme="majorBidi"/>
          <w:i/>
          <w:iCs/>
        </w:rPr>
        <w:t>Judge and Banker—Valuation Analyses in the Delaware Courts</w:t>
      </w:r>
      <w:r w:rsidRPr="003170A4">
        <w:rPr>
          <w:rFonts w:asciiTheme="majorBidi" w:hAnsiTheme="majorBidi" w:cstheme="majorBidi"/>
        </w:rPr>
        <w:t xml:space="preserve">, 116 </w:t>
      </w:r>
      <w:r w:rsidRPr="003170A4">
        <w:rPr>
          <w:rFonts w:asciiTheme="majorBidi" w:hAnsiTheme="majorBidi" w:cstheme="majorBidi"/>
          <w:smallCaps/>
        </w:rPr>
        <w:t xml:space="preserve">Pa. St. L. Rev. </w:t>
      </w:r>
      <w:r w:rsidRPr="003170A4">
        <w:rPr>
          <w:rFonts w:asciiTheme="majorBidi" w:hAnsiTheme="majorBidi" w:cstheme="majorBidi"/>
        </w:rPr>
        <w:t xml:space="preserve">957, 959 (2012) (“[T]he Delaware courts have become quite sophisticated in reviewing valuation analyses and are thoroughly conversant in the related, highly technical financial arcana.”); </w:t>
      </w:r>
      <w:r w:rsidRPr="003170A4">
        <w:rPr>
          <w:rFonts w:asciiTheme="majorBidi" w:hAnsiTheme="majorBidi" w:cstheme="majorBidi"/>
          <w:i/>
          <w:iCs/>
        </w:rPr>
        <w:t>Widen</w:t>
      </w:r>
      <w:r w:rsidRPr="003170A4">
        <w:rPr>
          <w:rFonts w:asciiTheme="majorBidi" w:hAnsiTheme="majorBidi" w:cstheme="majorBidi"/>
        </w:rPr>
        <w:t xml:space="preserve">, </w:t>
      </w:r>
      <w:r w:rsidRPr="003170A4">
        <w:rPr>
          <w:rFonts w:asciiTheme="majorBidi" w:hAnsiTheme="majorBidi" w:cstheme="majorBidi"/>
          <w:i/>
          <w:iCs/>
        </w:rPr>
        <w:t>supra</w:t>
      </w:r>
      <w:r w:rsidRPr="003170A4">
        <w:rPr>
          <w:rFonts w:asciiTheme="majorBidi" w:hAnsiTheme="majorBidi" w:cstheme="majorBidi"/>
        </w:rPr>
        <w:t xml:space="preserve"> note 53, at 581 (“Delaware courts have become increasingly sophisticated in their understanding of business</w:t>
      </w:r>
    </w:p>
    <w:p w14:paraId="2055008B" w14:textId="77777777" w:rsidR="00B54C7C" w:rsidRPr="003170A4" w:rsidRDefault="00B54C7C" w:rsidP="007442E8">
      <w:pPr>
        <w:pStyle w:val="FootnoteText"/>
        <w:jc w:val="both"/>
        <w:rPr>
          <w:rFonts w:asciiTheme="majorBidi" w:hAnsiTheme="majorBidi" w:cstheme="majorBidi"/>
        </w:rPr>
      </w:pPr>
      <w:r w:rsidRPr="003170A4">
        <w:rPr>
          <w:rFonts w:asciiTheme="majorBidi" w:hAnsiTheme="majorBidi" w:cstheme="majorBidi"/>
        </w:rPr>
        <w:t>valuation techniques.”).</w:t>
      </w:r>
    </w:p>
  </w:footnote>
  <w:footnote w:id="35">
    <w:p w14:paraId="78028CB0" w14:textId="587EE8E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Andrew Baker, Jonah Gelbach, &amp; Eric Talley, </w:t>
      </w:r>
      <w:r w:rsidRPr="003170A4">
        <w:rPr>
          <w:rFonts w:asciiTheme="majorBidi" w:hAnsiTheme="majorBidi" w:cstheme="majorBidi"/>
          <w:i/>
          <w:iCs/>
        </w:rPr>
        <w:t>Validating Valuation: How Statistical Learning Can Cabin Expert Discretion in Valuation Disputes</w:t>
      </w:r>
      <w:r w:rsidRPr="003170A4">
        <w:rPr>
          <w:rFonts w:asciiTheme="majorBidi" w:hAnsiTheme="majorBidi" w:cstheme="majorBidi"/>
        </w:rPr>
        <w:t xml:space="preserve">, (April 30, 2024), </w:t>
      </w:r>
      <w:hyperlink r:id="rId1" w:history="1">
        <w:r w:rsidRPr="003170A4">
          <w:rPr>
            <w:rStyle w:val="Hyperlink"/>
            <w:rFonts w:asciiTheme="majorBidi" w:hAnsiTheme="majorBidi" w:cstheme="majorBidi"/>
            <w:color w:val="auto"/>
            <w:u w:val="none"/>
          </w:rPr>
          <w:t>https://papers.ssrn.com/sol3/papers.cfm?abstract_id=4849281</w:t>
        </w:r>
      </w:hyperlink>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also</w:t>
      </w:r>
      <w:r w:rsidRPr="003170A4">
        <w:rPr>
          <w:rFonts w:asciiTheme="majorBidi" w:hAnsiTheme="majorBidi" w:cstheme="majorBidi"/>
        </w:rPr>
        <w:t xml:space="preserve"> </w:t>
      </w:r>
      <w:r w:rsidRPr="003170A4">
        <w:rPr>
          <w:rFonts w:asciiTheme="majorBidi" w:hAnsiTheme="majorBidi" w:cstheme="majorBidi"/>
          <w:i/>
          <w:iCs/>
        </w:rPr>
        <w:t xml:space="preserve">Union Illinois 1995 Inv. Ltd. </w:t>
      </w:r>
      <w:proofErr w:type="spellStart"/>
      <w:r w:rsidRPr="003170A4">
        <w:rPr>
          <w:rFonts w:asciiTheme="majorBidi" w:hAnsiTheme="majorBidi" w:cstheme="majorBidi"/>
          <w:i/>
          <w:iCs/>
        </w:rPr>
        <w:t>P'ship</w:t>
      </w:r>
      <w:proofErr w:type="spellEnd"/>
      <w:r w:rsidRPr="003170A4">
        <w:rPr>
          <w:rFonts w:asciiTheme="majorBidi" w:hAnsiTheme="majorBidi" w:cstheme="majorBidi"/>
          <w:i/>
          <w:iCs/>
        </w:rPr>
        <w:t xml:space="preserve"> v. Union Fin. Grp., Ltd.</w:t>
      </w:r>
      <w:r w:rsidRPr="003170A4">
        <w:rPr>
          <w:rFonts w:asciiTheme="majorBidi" w:hAnsiTheme="majorBidi" w:cstheme="majorBidi"/>
        </w:rPr>
        <w:t>, 847 A.2d 340, 359 (Del. Ch. 2004)</w:t>
      </w:r>
    </w:p>
    <w:p w14:paraId="14DC44FC" w14:textId="77777777" w:rsidR="00B54C7C" w:rsidRPr="003170A4" w:rsidRDefault="00B54C7C" w:rsidP="007442E8">
      <w:pPr>
        <w:pStyle w:val="FootnoteText"/>
        <w:jc w:val="both"/>
        <w:rPr>
          <w:rFonts w:asciiTheme="majorBidi" w:hAnsiTheme="majorBidi" w:cstheme="majorBidi"/>
        </w:rPr>
      </w:pPr>
      <w:r w:rsidRPr="003170A4">
        <w:rPr>
          <w:rFonts w:asciiTheme="majorBidi" w:hAnsiTheme="majorBidi" w:cstheme="majorBidi"/>
        </w:rPr>
        <w:t xml:space="preserve">(“For me (as a law-trained judge) to second-guess the price that resulted from that process involves an exercise in hubris and, at best, reasoned guess-work.”); </w:t>
      </w:r>
      <w:r w:rsidRPr="003170A4">
        <w:rPr>
          <w:rFonts w:asciiTheme="majorBidi" w:hAnsiTheme="majorBidi" w:cstheme="majorBidi"/>
          <w:i/>
          <w:iCs/>
        </w:rPr>
        <w:t xml:space="preserve">see also </w:t>
      </w:r>
      <w:proofErr w:type="gramStart"/>
      <w:r w:rsidRPr="003170A4">
        <w:rPr>
          <w:rFonts w:asciiTheme="majorBidi" w:hAnsiTheme="majorBidi" w:cstheme="majorBidi"/>
          <w:i/>
          <w:iCs/>
        </w:rPr>
        <w:t>In</w:t>
      </w:r>
      <w:proofErr w:type="gramEnd"/>
      <w:r w:rsidRPr="003170A4">
        <w:rPr>
          <w:rFonts w:asciiTheme="majorBidi" w:hAnsiTheme="majorBidi" w:cstheme="majorBidi"/>
          <w:i/>
          <w:iCs/>
        </w:rPr>
        <w:t xml:space="preserve"> re Appraisal of Dole Food Co., Inc.</w:t>
      </w:r>
      <w:r w:rsidRPr="003170A4">
        <w:rPr>
          <w:rFonts w:asciiTheme="majorBidi" w:hAnsiTheme="majorBidi" w:cstheme="majorBidi"/>
        </w:rPr>
        <w:t>, 114 A.3d 541, 555 (Del. Ch. 2014) (“[T]he past and current members of this court are law-trained judges, not valuation experts.”)</w:t>
      </w:r>
    </w:p>
  </w:footnote>
  <w:footnote w:id="36">
    <w:p w14:paraId="77B9517C" w14:textId="527E9C45" w:rsidR="00B54C7C" w:rsidRPr="003170A4" w:rsidRDefault="00B54C7C" w:rsidP="006E60EA">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Goshen</w:t>
      </w:r>
      <w:r w:rsidR="006E60EA" w:rsidRPr="003170A4">
        <w:rPr>
          <w:rFonts w:asciiTheme="majorBidi" w:hAnsiTheme="majorBidi" w:cstheme="majorBidi"/>
        </w:rPr>
        <w:t xml:space="preserve"> &amp; Hamdani</w:t>
      </w:r>
      <w:r w:rsidRPr="003170A4">
        <w:rPr>
          <w:rFonts w:asciiTheme="majorBidi" w:hAnsiTheme="majorBidi" w:cstheme="majorBidi"/>
        </w:rPr>
        <w:t xml:space="preserve">, </w:t>
      </w:r>
      <w:r w:rsidRPr="003170A4">
        <w:rPr>
          <w:rFonts w:asciiTheme="majorBidi" w:hAnsiTheme="majorBidi" w:cstheme="majorBidi"/>
          <w:i/>
          <w:iCs/>
        </w:rPr>
        <w:t>supra</w:t>
      </w:r>
      <w:r w:rsidRPr="003170A4">
        <w:rPr>
          <w:rFonts w:asciiTheme="majorBidi" w:hAnsiTheme="majorBidi" w:cstheme="majorBidi"/>
        </w:rPr>
        <w:t xml:space="preserve"> note </w:t>
      </w:r>
      <w:r w:rsidR="006E60EA" w:rsidRPr="003170A4">
        <w:rPr>
          <w:rFonts w:asciiTheme="majorBidi" w:hAnsiTheme="majorBidi" w:cstheme="majorBidi"/>
        </w:rPr>
        <w:fldChar w:fldCharType="begin"/>
      </w:r>
      <w:r w:rsidR="006E60EA" w:rsidRPr="003170A4">
        <w:rPr>
          <w:rFonts w:asciiTheme="majorBidi" w:hAnsiTheme="majorBidi" w:cstheme="majorBidi"/>
        </w:rPr>
        <w:instrText xml:space="preserve"> NOTEREF _Ref184667849 \h </w:instrText>
      </w:r>
      <w:r w:rsidR="003170A4" w:rsidRPr="003170A4">
        <w:rPr>
          <w:rFonts w:asciiTheme="majorBidi" w:hAnsiTheme="majorBidi" w:cstheme="majorBidi"/>
        </w:rPr>
        <w:instrText xml:space="preserve"> \* MERGEFORMAT </w:instrText>
      </w:r>
      <w:r w:rsidR="006E60EA" w:rsidRPr="003170A4">
        <w:rPr>
          <w:rFonts w:asciiTheme="majorBidi" w:hAnsiTheme="majorBidi" w:cstheme="majorBidi"/>
        </w:rPr>
      </w:r>
      <w:r w:rsidR="006E60EA" w:rsidRPr="003170A4">
        <w:rPr>
          <w:rFonts w:asciiTheme="majorBidi" w:hAnsiTheme="majorBidi" w:cstheme="majorBidi"/>
        </w:rPr>
        <w:fldChar w:fldCharType="separate"/>
      </w:r>
      <w:r w:rsidR="0083714B">
        <w:rPr>
          <w:rFonts w:asciiTheme="majorBidi" w:hAnsiTheme="majorBidi" w:cstheme="majorBidi"/>
        </w:rPr>
        <w:t>17</w:t>
      </w:r>
      <w:r w:rsidR="006E60EA" w:rsidRPr="003170A4">
        <w:rPr>
          <w:rFonts w:asciiTheme="majorBidi" w:hAnsiTheme="majorBidi" w:cstheme="majorBidi"/>
        </w:rPr>
        <w:fldChar w:fldCharType="end"/>
      </w:r>
      <w:r w:rsidRPr="003170A4">
        <w:rPr>
          <w:rFonts w:asciiTheme="majorBidi" w:hAnsiTheme="majorBidi" w:cstheme="majorBidi"/>
        </w:rPr>
        <w:t xml:space="preserve">, at 969; </w:t>
      </w:r>
      <w:r w:rsidRPr="003170A4">
        <w:rPr>
          <w:rFonts w:asciiTheme="majorBidi" w:hAnsiTheme="majorBidi" w:cstheme="majorBidi"/>
          <w:i/>
          <w:iCs/>
        </w:rPr>
        <w:t xml:space="preserve">see also </w:t>
      </w:r>
      <w:r w:rsidRPr="003170A4">
        <w:rPr>
          <w:rFonts w:asciiTheme="majorBidi" w:hAnsiTheme="majorBidi" w:cstheme="majorBidi"/>
        </w:rPr>
        <w:t>John Coates IV, “</w:t>
      </w:r>
      <w:r w:rsidRPr="003170A4">
        <w:rPr>
          <w:rFonts w:asciiTheme="majorBidi" w:hAnsiTheme="majorBidi" w:cstheme="majorBidi"/>
          <w:i/>
          <w:iCs/>
        </w:rPr>
        <w:t>Fair Value”</w:t>
      </w:r>
      <w:r w:rsidR="00C74D43" w:rsidRPr="003170A4">
        <w:rPr>
          <w:rFonts w:asciiTheme="majorBidi" w:hAnsiTheme="majorBidi" w:cstheme="majorBidi"/>
          <w:i/>
          <w:iCs/>
        </w:rPr>
        <w:t xml:space="preserve"> </w:t>
      </w:r>
      <w:r w:rsidRPr="003170A4">
        <w:rPr>
          <w:rFonts w:asciiTheme="majorBidi" w:hAnsiTheme="majorBidi" w:cstheme="majorBidi"/>
          <w:i/>
          <w:iCs/>
        </w:rPr>
        <w:t>As an Avoidable Rule of Corporate Law: Minority Discounts in Conflict Transactions</w:t>
      </w:r>
      <w:r w:rsidRPr="003170A4">
        <w:rPr>
          <w:rFonts w:asciiTheme="majorBidi" w:hAnsiTheme="majorBidi" w:cstheme="majorBidi"/>
        </w:rPr>
        <w:t xml:space="preserve">, 147 U. PA.L. REV. 1251 (1999) (“Valuing minority shares is at the heart of every conflict transaction.’). </w:t>
      </w:r>
    </w:p>
  </w:footnote>
  <w:footnote w:id="37">
    <w:p w14:paraId="4117A2D3" w14:textId="30144B3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A54374">
        <w:rPr>
          <w:rFonts w:asciiTheme="majorBidi" w:hAnsiTheme="majorBidi" w:cstheme="majorBidi"/>
        </w:rPr>
        <w:t xml:space="preserve"> </w:t>
      </w:r>
      <w:r w:rsidRPr="003170A4">
        <w:rPr>
          <w:rFonts w:asciiTheme="majorBidi" w:hAnsiTheme="majorBidi" w:cstheme="majorBidi"/>
        </w:rPr>
        <w:t xml:space="preserve">at 538. </w:t>
      </w:r>
    </w:p>
  </w:footnote>
  <w:footnote w:id="38">
    <w:p w14:paraId="5D212FF5" w14:textId="6F08DB4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Although this example focuses on compensation for controller-executives, other transactions, such as the purchase of a company from the controller, also depend on the controller’s vision, complicating valuation.</w:t>
      </w:r>
    </w:p>
  </w:footnote>
  <w:footnote w:id="39">
    <w:p w14:paraId="1B780A32" w14:textId="77777777" w:rsidR="00B54C7C" w:rsidRPr="003170A4" w:rsidRDefault="00B54C7C" w:rsidP="007442E8">
      <w:pPr>
        <w:spacing w:after="0" w:line="240" w:lineRule="auto"/>
        <w:jc w:val="both"/>
        <w:rPr>
          <w:rFonts w:asciiTheme="majorBidi" w:hAnsiTheme="majorBidi" w:cstheme="majorBidi"/>
          <w:sz w:val="20"/>
          <w:szCs w:val="20"/>
        </w:rPr>
      </w:pPr>
      <w:r w:rsidRPr="003170A4">
        <w:rPr>
          <w:rStyle w:val="FootnoteReference"/>
          <w:rFonts w:asciiTheme="majorBidi" w:hAnsiTheme="majorBidi" w:cstheme="majorBidi"/>
          <w:sz w:val="20"/>
          <w:szCs w:val="20"/>
        </w:rPr>
        <w:footnoteRef/>
      </w:r>
      <w:r w:rsidRPr="003170A4">
        <w:rPr>
          <w:rFonts w:asciiTheme="majorBidi" w:hAnsiTheme="majorBidi" w:cstheme="majorBidi"/>
          <w:sz w:val="20"/>
          <w:szCs w:val="20"/>
        </w:rPr>
        <w:t xml:space="preserve"> This valuation issue also arises when courts evaluate other types of conflicted controller transactions. Consider, for example, the 2016 merger between Tesla and Solar City, which Tesla shareholders challenged under the theory that Tesla overpaid due to Musk’s influence over both companies. As part of its analysis, the court was forced to determine whether Tesla paid a fair price for Solar City. But without an objective valuation methodology to guide it, the court was forced to rely on little more than hindsight. Part X describes this case in greater detail. </w:t>
      </w:r>
    </w:p>
  </w:footnote>
  <w:footnote w:id="40">
    <w:p w14:paraId="1A1469F7" w14:textId="1EC9178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 at 445.</w:t>
      </w:r>
    </w:p>
  </w:footnote>
  <w:footnote w:id="41">
    <w:p w14:paraId="00DF6707" w14:textId="3E523AEE" w:rsidR="00B54C7C" w:rsidRPr="003170A4" w:rsidRDefault="00B54C7C" w:rsidP="00F0414E">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For a different critique of entire fairness review and in particular, the fair price analysis, </w:t>
      </w:r>
      <w:r w:rsidRPr="003170A4">
        <w:rPr>
          <w:rFonts w:asciiTheme="majorBidi" w:hAnsiTheme="majorBidi" w:cstheme="majorBidi"/>
          <w:i/>
          <w:iCs/>
        </w:rPr>
        <w:t>see</w:t>
      </w:r>
      <w:r w:rsidRPr="003170A4">
        <w:rPr>
          <w:rFonts w:asciiTheme="majorBidi" w:hAnsiTheme="majorBidi" w:cstheme="majorBidi"/>
        </w:rPr>
        <w:t xml:space="preserve"> Amir Licht, </w:t>
      </w:r>
      <w:r w:rsidRPr="003170A4">
        <w:rPr>
          <w:rFonts w:asciiTheme="majorBidi" w:hAnsiTheme="majorBidi" w:cstheme="majorBidi"/>
          <w:i/>
          <w:iCs/>
        </w:rPr>
        <w:t>Farewell to Fairness: Toward Retiring Delaware’s Entire Fairness Review</w:t>
      </w:r>
      <w:r w:rsidRPr="003170A4">
        <w:rPr>
          <w:rFonts w:asciiTheme="majorBidi" w:hAnsiTheme="majorBidi" w:cstheme="majorBidi"/>
        </w:rPr>
        <w:t xml:space="preserve">, 44 Del. J. Corp. L. 1 (2020) (arguing that entire fairness review allows controllers to get away with misconduct so long as it priced fairly); J. Travis Laster, </w:t>
      </w:r>
      <w:r w:rsidRPr="003170A4">
        <w:rPr>
          <w:rFonts w:asciiTheme="majorBidi" w:hAnsiTheme="majorBidi" w:cstheme="majorBidi"/>
          <w:i/>
          <w:iCs/>
        </w:rPr>
        <w:t xml:space="preserve">The Distinctive Fiduciary Duties That Stockholder Controllers Owe, </w:t>
      </w:r>
      <w:r w:rsidRPr="003170A4">
        <w:rPr>
          <w:rFonts w:asciiTheme="majorBidi" w:hAnsiTheme="majorBidi" w:cstheme="majorBidi"/>
        </w:rPr>
        <w:t xml:space="preserve">20 N.Y.U J. L. </w:t>
      </w:r>
      <w:r w:rsidRPr="003170A4">
        <w:rPr>
          <w:rFonts w:asciiTheme="majorBidi" w:hAnsiTheme="majorBidi" w:cstheme="majorBidi"/>
          <w:smallCaps/>
        </w:rPr>
        <w:t>&amp; Bus.</w:t>
      </w:r>
      <w:r w:rsidRPr="003170A4">
        <w:rPr>
          <w:rFonts w:asciiTheme="majorBidi" w:hAnsiTheme="majorBidi" w:cstheme="majorBidi"/>
        </w:rPr>
        <w:t xml:space="preserve"> 461, 491-492 (arguing that the compensatory approach underlying the fair-price prong of entire fairness review is arguably less effective in preventing overreaching by controlling shareholders).  </w:t>
      </w:r>
    </w:p>
  </w:footnote>
  <w:footnote w:id="42">
    <w:p w14:paraId="34A3C24E" w14:textId="661D901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Reservation Price</w:t>
      </w:r>
      <w:r w:rsidRPr="003170A4">
        <w:rPr>
          <w:rFonts w:asciiTheme="majorBidi" w:hAnsiTheme="majorBidi" w:cstheme="majorBidi"/>
        </w:rPr>
        <w:t xml:space="preserve">, </w:t>
      </w:r>
      <w:r w:rsidRPr="003170A4">
        <w:rPr>
          <w:rFonts w:asciiTheme="majorBidi" w:hAnsiTheme="majorBidi" w:cstheme="majorBidi"/>
          <w:smallCaps/>
        </w:rPr>
        <w:t>Harvard Law School</w:t>
      </w:r>
      <w:r w:rsidRPr="003170A4">
        <w:rPr>
          <w:rFonts w:asciiTheme="majorBidi" w:hAnsiTheme="majorBidi" w:cstheme="majorBidi"/>
        </w:rPr>
        <w:t>, https://www.pon.harvard.edu/tag/reservation-price/.</w:t>
      </w:r>
    </w:p>
  </w:footnote>
  <w:footnote w:id="43">
    <w:p w14:paraId="3308ECF4" w14:textId="5E3DD4E3" w:rsidR="00B54C7C" w:rsidRPr="003170A4" w:rsidRDefault="00B54C7C" w:rsidP="007442E8">
      <w:pPr>
        <w:spacing w:after="0" w:line="240" w:lineRule="auto"/>
        <w:jc w:val="both"/>
        <w:rPr>
          <w:rFonts w:asciiTheme="majorBidi" w:hAnsiTheme="majorBidi" w:cstheme="majorBidi"/>
          <w:sz w:val="20"/>
          <w:szCs w:val="20"/>
        </w:rPr>
      </w:pPr>
      <w:r w:rsidRPr="003170A4">
        <w:rPr>
          <w:rStyle w:val="FootnoteReference"/>
          <w:rFonts w:asciiTheme="majorBidi" w:hAnsiTheme="majorBidi" w:cstheme="majorBidi"/>
          <w:sz w:val="20"/>
          <w:szCs w:val="20"/>
        </w:rPr>
        <w:footnoteRef/>
      </w:r>
      <w:r w:rsidRPr="003170A4">
        <w:rPr>
          <w:rFonts w:asciiTheme="majorBidi" w:hAnsiTheme="majorBidi" w:cstheme="majorBidi"/>
          <w:sz w:val="20"/>
          <w:szCs w:val="20"/>
        </w:rPr>
        <w:t xml:space="preserve"> As an example, consider how the Delaware court scheduled trial in </w:t>
      </w:r>
      <w:r w:rsidRPr="003170A4">
        <w:rPr>
          <w:rFonts w:asciiTheme="majorBidi" w:hAnsiTheme="majorBidi" w:cstheme="majorBidi"/>
          <w:i/>
          <w:iCs/>
          <w:sz w:val="20"/>
          <w:szCs w:val="20"/>
        </w:rPr>
        <w:t>Tornetta</w:t>
      </w:r>
      <w:r w:rsidRPr="003170A4">
        <w:rPr>
          <w:rFonts w:asciiTheme="majorBidi" w:hAnsiTheme="majorBidi" w:cstheme="majorBidi"/>
          <w:sz w:val="20"/>
          <w:szCs w:val="20"/>
        </w:rPr>
        <w:t xml:space="preserve"> for August 2022, several months after the final milestone was achieved. In other words, the case was litigated </w:t>
      </w:r>
      <w:r w:rsidRPr="003170A4">
        <w:rPr>
          <w:rFonts w:asciiTheme="majorBidi" w:hAnsiTheme="majorBidi" w:cstheme="majorBidi"/>
          <w:i/>
          <w:iCs/>
          <w:sz w:val="20"/>
          <w:szCs w:val="20"/>
        </w:rPr>
        <w:t>after</w:t>
      </w:r>
      <w:r w:rsidRPr="003170A4">
        <w:rPr>
          <w:rFonts w:asciiTheme="majorBidi" w:hAnsiTheme="majorBidi" w:cstheme="majorBidi"/>
          <w:sz w:val="20"/>
          <w:szCs w:val="20"/>
        </w:rPr>
        <w:t xml:space="preserve"> Tesla became the world’s most valuable carmaker and reached all the milestones, not when the grants were in serious doubt. </w:t>
      </w:r>
      <w:r w:rsidRPr="003170A4">
        <w:rPr>
          <w:rFonts w:asciiTheme="majorBidi" w:hAnsiTheme="majorBidi" w:cstheme="majorBidi"/>
          <w:i/>
          <w:iCs/>
          <w:sz w:val="20"/>
          <w:szCs w:val="20"/>
        </w:rPr>
        <w:t>See</w:t>
      </w:r>
      <w:r w:rsidRPr="003170A4">
        <w:rPr>
          <w:rFonts w:asciiTheme="majorBidi" w:hAnsiTheme="majorBidi" w:cstheme="majorBidi"/>
          <w:sz w:val="20"/>
          <w:szCs w:val="20"/>
        </w:rPr>
        <w:t xml:space="preserve"> Steven Loveday, </w:t>
      </w:r>
      <w:r w:rsidRPr="003170A4">
        <w:rPr>
          <w:rFonts w:asciiTheme="majorBidi" w:hAnsiTheme="majorBidi" w:cstheme="majorBidi"/>
          <w:i/>
          <w:iCs/>
          <w:sz w:val="20"/>
          <w:szCs w:val="20"/>
        </w:rPr>
        <w:t>Tesla Becomes Most Valuable Automotive Brand in the World</w:t>
      </w:r>
      <w:r w:rsidRPr="003170A4">
        <w:rPr>
          <w:rFonts w:asciiTheme="majorBidi" w:hAnsiTheme="majorBidi" w:cstheme="majorBidi"/>
          <w:sz w:val="20"/>
          <w:szCs w:val="20"/>
        </w:rPr>
        <w:t xml:space="preserve">, </w:t>
      </w:r>
      <w:r w:rsidRPr="003170A4">
        <w:rPr>
          <w:rFonts w:asciiTheme="majorBidi" w:hAnsiTheme="majorBidi" w:cstheme="majorBidi"/>
          <w:smallCaps/>
          <w:sz w:val="20"/>
          <w:szCs w:val="20"/>
        </w:rPr>
        <w:t>Inside EVs</w:t>
      </w:r>
      <w:r w:rsidRPr="003170A4">
        <w:rPr>
          <w:rFonts w:asciiTheme="majorBidi" w:hAnsiTheme="majorBidi" w:cstheme="majorBidi"/>
          <w:sz w:val="20"/>
          <w:szCs w:val="20"/>
        </w:rPr>
        <w:t xml:space="preserve"> (Apr. 10, 2023), </w:t>
      </w:r>
      <w:hyperlink r:id="rId2" w:history="1">
        <w:r w:rsidRPr="003170A4">
          <w:rPr>
            <w:rStyle w:val="Hyperlink"/>
            <w:rFonts w:asciiTheme="majorBidi" w:hAnsiTheme="majorBidi" w:cstheme="majorBidi"/>
            <w:color w:val="auto"/>
            <w:sz w:val="20"/>
            <w:szCs w:val="20"/>
            <w:u w:val="none"/>
          </w:rPr>
          <w:t>https://insideevs.com/news/661555/tesla-most-valuable-automotive-brand-in-world/</w:t>
        </w:r>
      </w:hyperlink>
      <w:r w:rsidRPr="003170A4">
        <w:rPr>
          <w:rFonts w:asciiTheme="majorBidi" w:hAnsiTheme="majorBidi" w:cstheme="majorBidi"/>
          <w:sz w:val="20"/>
          <w:szCs w:val="20"/>
        </w:rPr>
        <w:t>. As such, the court’s decision about the process and price was colored by the ultimate outcome—the fact that Musk met the milestones and earned the payday.</w:t>
      </w:r>
    </w:p>
  </w:footnote>
  <w:footnote w:id="44">
    <w:p w14:paraId="17ACDE96" w14:textId="157AD311"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In re MFW </w:t>
      </w:r>
      <w:proofErr w:type="spellStart"/>
      <w:r w:rsidRPr="003170A4">
        <w:rPr>
          <w:rFonts w:asciiTheme="majorBidi" w:hAnsiTheme="majorBidi" w:cstheme="majorBidi"/>
          <w:i/>
          <w:iCs/>
        </w:rPr>
        <w:t>S'holders</w:t>
      </w:r>
      <w:proofErr w:type="spellEnd"/>
      <w:r w:rsidRPr="003170A4">
        <w:rPr>
          <w:rFonts w:asciiTheme="majorBidi" w:hAnsiTheme="majorBidi" w:cstheme="majorBidi"/>
          <w:i/>
          <w:iCs/>
        </w:rPr>
        <w:t xml:space="preserve"> Litig.</w:t>
      </w:r>
      <w:r w:rsidRPr="003170A4">
        <w:rPr>
          <w:rFonts w:asciiTheme="majorBidi" w:hAnsiTheme="majorBidi" w:cstheme="majorBidi"/>
        </w:rPr>
        <w:t xml:space="preserve">, 67 A.3d 496, 502 (Del. Ch. 2013), aff'd sub nom. </w:t>
      </w:r>
      <w:r w:rsidRPr="003170A4">
        <w:rPr>
          <w:rFonts w:asciiTheme="majorBidi" w:hAnsiTheme="majorBidi" w:cstheme="majorBidi"/>
          <w:i/>
          <w:iCs/>
        </w:rPr>
        <w:t>Kahn v. M &amp; F Worldwide Corp.</w:t>
      </w:r>
      <w:r w:rsidRPr="003170A4">
        <w:rPr>
          <w:rFonts w:asciiTheme="majorBidi" w:hAnsiTheme="majorBidi" w:cstheme="majorBidi"/>
        </w:rPr>
        <w:t>, 88 A.3d 635 (Del. 2014).</w:t>
      </w:r>
    </w:p>
  </w:footnote>
  <w:footnote w:id="45">
    <w:p w14:paraId="3F090032" w14:textId="6394017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46">
    <w:p w14:paraId="3D3A1517" w14:textId="5376B9E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Edward B. Rock, </w:t>
      </w:r>
      <w:r w:rsidRPr="003170A4">
        <w:rPr>
          <w:rFonts w:asciiTheme="majorBidi" w:hAnsiTheme="majorBidi" w:cstheme="majorBidi"/>
          <w:i/>
          <w:iCs/>
        </w:rPr>
        <w:t>Majority of the Minority Approval in a World of Active Shareholders, in The Law and Finance of Related Party Transactions</w:t>
      </w:r>
      <w:r w:rsidRPr="003170A4">
        <w:rPr>
          <w:rFonts w:asciiTheme="majorBidi" w:hAnsiTheme="majorBidi" w:cstheme="majorBidi"/>
        </w:rPr>
        <w:t xml:space="preserve">, </w:t>
      </w:r>
      <w:r w:rsidRPr="003170A4">
        <w:rPr>
          <w:rFonts w:asciiTheme="majorBidi" w:hAnsiTheme="majorBidi" w:cstheme="majorBidi"/>
          <w:smallCaps/>
        </w:rPr>
        <w:t>Cambridge University Press</w:t>
      </w:r>
      <w:r w:rsidRPr="003170A4">
        <w:rPr>
          <w:rFonts w:asciiTheme="majorBidi" w:hAnsiTheme="majorBidi" w:cstheme="majorBidi"/>
        </w:rPr>
        <w:t xml:space="preserve"> 105, 115 (Luca Enriques &amp; Tobias Tröger eds., 2019).</w:t>
      </w:r>
    </w:p>
  </w:footnote>
  <w:footnote w:id="47">
    <w:p w14:paraId="6AA9BB6D" w14:textId="0F7DE020"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Nathaniel J. Stuhlmiller and Brian T.M. Mammarella, </w:t>
      </w:r>
      <w:r w:rsidRPr="003170A4">
        <w:rPr>
          <w:rFonts w:asciiTheme="majorBidi" w:hAnsiTheme="majorBidi" w:cstheme="majorBidi"/>
          <w:i/>
          <w:iCs/>
        </w:rPr>
        <w:t xml:space="preserve">'MFW' Just Turned 10, but Is It Worth the </w:t>
      </w:r>
      <w:proofErr w:type="gramStart"/>
      <w:r w:rsidRPr="003170A4">
        <w:rPr>
          <w:rFonts w:asciiTheme="majorBidi" w:hAnsiTheme="majorBidi" w:cstheme="majorBidi"/>
          <w:i/>
          <w:iCs/>
        </w:rPr>
        <w:t>Candle?,</w:t>
      </w:r>
      <w:proofErr w:type="gramEnd"/>
      <w:r w:rsidRPr="003170A4">
        <w:rPr>
          <w:rFonts w:asciiTheme="majorBidi" w:hAnsiTheme="majorBidi" w:cstheme="majorBidi"/>
          <w:i/>
          <w:iCs/>
        </w:rPr>
        <w:t xml:space="preserve">  </w:t>
      </w:r>
    </w:p>
    <w:p w14:paraId="48580A1E" w14:textId="051CEFCB" w:rsidR="00B54C7C" w:rsidRPr="003170A4" w:rsidRDefault="00B54C7C" w:rsidP="007442E8">
      <w:pPr>
        <w:pStyle w:val="FootnoteText"/>
        <w:jc w:val="both"/>
        <w:rPr>
          <w:rFonts w:asciiTheme="majorBidi" w:hAnsiTheme="majorBidi" w:cstheme="majorBidi"/>
        </w:rPr>
      </w:pPr>
      <w:r w:rsidRPr="003170A4">
        <w:rPr>
          <w:rFonts w:asciiTheme="majorBidi" w:hAnsiTheme="majorBidi" w:cstheme="majorBidi"/>
          <w:smallCaps/>
        </w:rPr>
        <w:t xml:space="preserve">Del. Bus. Ct. Insider </w:t>
      </w:r>
      <w:r w:rsidRPr="003170A4">
        <w:rPr>
          <w:rFonts w:asciiTheme="majorBidi" w:hAnsiTheme="majorBidi" w:cstheme="majorBidi"/>
        </w:rPr>
        <w:t xml:space="preserve">(July 4, 2024) (between mid-2019 to mid-2024, </w:t>
      </w:r>
      <w:r w:rsidRPr="003170A4">
        <w:rPr>
          <w:rFonts w:asciiTheme="majorBidi" w:hAnsiTheme="majorBidi" w:cstheme="majorBidi"/>
          <w:i/>
          <w:iCs/>
        </w:rPr>
        <w:t xml:space="preserve">MFW </w:t>
      </w:r>
      <w:r w:rsidRPr="003170A4">
        <w:rPr>
          <w:rFonts w:asciiTheme="majorBidi" w:hAnsiTheme="majorBidi" w:cstheme="majorBidi"/>
        </w:rPr>
        <w:t xml:space="preserve">defenses succeeded in only four of 15 cases for a success rate of 26.7%); </w:t>
      </w:r>
      <w:r w:rsidRPr="003170A4">
        <w:rPr>
          <w:rFonts w:asciiTheme="majorBidi" w:hAnsiTheme="majorBidi" w:cstheme="majorBidi"/>
          <w:i/>
          <w:iCs/>
        </w:rPr>
        <w:t xml:space="preserve">see also </w:t>
      </w:r>
      <w:r w:rsidRPr="003170A4">
        <w:rPr>
          <w:rFonts w:asciiTheme="majorBidi" w:hAnsiTheme="majorBidi" w:cstheme="majorBidi"/>
        </w:rPr>
        <w:t xml:space="preserve">Fernan Restrepo &amp; Guhan Subramanian, </w:t>
      </w:r>
      <w:r w:rsidRPr="003170A4">
        <w:rPr>
          <w:rFonts w:asciiTheme="majorBidi" w:hAnsiTheme="majorBidi" w:cstheme="majorBidi"/>
          <w:i/>
          <w:iCs/>
        </w:rPr>
        <w:t>Missing MOMs: Freezeouts in the New Doctrinal Regime and the MOOM Alternative</w:t>
      </w:r>
      <w:r w:rsidRPr="003170A4">
        <w:rPr>
          <w:rFonts w:asciiTheme="majorBidi" w:hAnsiTheme="majorBidi" w:cstheme="majorBidi"/>
        </w:rPr>
        <w:t xml:space="preserve">, </w:t>
      </w:r>
      <w:hyperlink r:id="rId3" w:history="1">
        <w:r w:rsidRPr="003170A4">
          <w:rPr>
            <w:rStyle w:val="Hyperlink"/>
            <w:rFonts w:asciiTheme="majorBidi" w:hAnsiTheme="majorBidi" w:cstheme="majorBidi"/>
            <w:color w:val="auto"/>
          </w:rPr>
          <w:t>https://papers.ssrn.com/sol3/papers.cfm?abstract_id=4965438</w:t>
        </w:r>
      </w:hyperlink>
      <w:r w:rsidRPr="003170A4">
        <w:rPr>
          <w:rFonts w:asciiTheme="majorBidi" w:hAnsiTheme="majorBidi" w:cstheme="majorBidi"/>
        </w:rPr>
        <w:t xml:space="preserve"> (showing that deal planners are using the majority of the minority voting condition less often). </w:t>
      </w:r>
    </w:p>
  </w:footnote>
  <w:footnote w:id="48">
    <w:p w14:paraId="6E240316" w14:textId="422804BB" w:rsidR="00B54C7C" w:rsidRPr="003170A4" w:rsidRDefault="00B54C7C" w:rsidP="00B26031">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xml:space="preserve"> supra note X</w:t>
      </w:r>
      <w:r w:rsidR="00507A4E" w:rsidRPr="003170A4">
        <w:rPr>
          <w:rFonts w:asciiTheme="majorBidi" w:hAnsiTheme="majorBidi" w:cstheme="majorBidi"/>
        </w:rPr>
        <w:t xml:space="preserve">. The court also disregarded a second vote that was taken to ratify the compensation package after it was invalidated, among other reasons, because the legal consequences of the vote on the validity of the deal were not properly represented. </w:t>
      </w:r>
      <w:r w:rsidR="00FF1941" w:rsidRPr="003170A4">
        <w:rPr>
          <w:rFonts w:asciiTheme="majorBidi" w:hAnsiTheme="majorBidi" w:cstheme="majorBidi"/>
          <w:i/>
          <w:iCs/>
        </w:rPr>
        <w:t>S</w:t>
      </w:r>
      <w:r w:rsidRPr="003170A4">
        <w:rPr>
          <w:rFonts w:asciiTheme="majorBidi" w:hAnsiTheme="majorBidi" w:cstheme="majorBidi"/>
          <w:i/>
          <w:iCs/>
        </w:rPr>
        <w:t>ee</w:t>
      </w:r>
      <w:r w:rsidRPr="003170A4">
        <w:rPr>
          <w:rFonts w:asciiTheme="majorBidi" w:hAnsiTheme="majorBidi" w:cstheme="majorBidi"/>
        </w:rPr>
        <w:t xml:space="preserve"> </w:t>
      </w:r>
      <w:proofErr w:type="spellStart"/>
      <w:r w:rsidRPr="003170A4">
        <w:rPr>
          <w:rFonts w:asciiTheme="majorBidi" w:hAnsiTheme="majorBidi" w:cstheme="majorBidi"/>
          <w:i/>
          <w:iCs/>
        </w:rPr>
        <w:t>Tornetta</w:t>
      </w:r>
      <w:proofErr w:type="spellEnd"/>
      <w:r w:rsidRPr="003170A4">
        <w:rPr>
          <w:rFonts w:asciiTheme="majorBidi" w:hAnsiTheme="majorBidi" w:cstheme="majorBidi"/>
        </w:rPr>
        <w:t xml:space="preserve"> II, </w:t>
      </w:r>
      <w:hyperlink r:id="rId4" w:history="1">
        <w:r w:rsidR="00FF1941" w:rsidRPr="003170A4">
          <w:rPr>
            <w:rStyle w:val="Hyperlink"/>
            <w:rFonts w:asciiTheme="majorBidi" w:hAnsiTheme="majorBidi" w:cstheme="majorBidi"/>
            <w:color w:val="auto"/>
          </w:rPr>
          <w:t>https://courts.delaware.gov/Opinions/Download.aspx?id=372420</w:t>
        </w:r>
      </w:hyperlink>
      <w:r w:rsidR="00E61DE9" w:rsidRPr="003170A4">
        <w:rPr>
          <w:rFonts w:asciiTheme="majorBidi" w:hAnsiTheme="majorBidi" w:cstheme="majorBidi"/>
        </w:rPr>
        <w:t>.</w:t>
      </w:r>
      <w:r w:rsidR="00507A4E" w:rsidRPr="003170A4">
        <w:rPr>
          <w:rFonts w:asciiTheme="majorBidi" w:hAnsiTheme="majorBidi" w:cstheme="majorBidi"/>
        </w:rPr>
        <w:t xml:space="preserve"> </w:t>
      </w:r>
      <w:r w:rsidR="006942A8" w:rsidRPr="003170A4">
        <w:rPr>
          <w:rFonts w:asciiTheme="majorBidi" w:hAnsiTheme="majorBidi" w:cstheme="majorBidi"/>
        </w:rPr>
        <w:t>It is one thing to ask shareholders to approve a self-dealing transaction represented as being subject to a subsequent judicial review when no such review is expected (this could be misleading because the availability of judicial review could have affected a shareholder’s choice of whether to approve or not), and another to ask shareholders to approve a transaction that will not be subject to judicial review when such review is, in fact, expected (this is not misleading because shareholders willing to support a transaction without judicial review would presumably also support it with the extra protection added). </w:t>
      </w:r>
    </w:p>
  </w:footnote>
  <w:footnote w:id="49">
    <w:p w14:paraId="29E3F881" w14:textId="78B039CA" w:rsidR="00B54C7C" w:rsidRPr="003170A4" w:rsidRDefault="00B54C7C" w:rsidP="00B26031">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Our proposals encompass all controller transactions for </w:t>
      </w:r>
      <w:r w:rsidR="00B26031" w:rsidRPr="003170A4">
        <w:rPr>
          <w:rFonts w:asciiTheme="majorBidi" w:hAnsiTheme="majorBidi" w:cstheme="majorBidi"/>
        </w:rPr>
        <w:t>two</w:t>
      </w:r>
      <w:r w:rsidRPr="003170A4">
        <w:rPr>
          <w:rFonts w:asciiTheme="majorBidi" w:hAnsiTheme="majorBidi" w:cstheme="majorBidi"/>
        </w:rPr>
        <w:t xml:space="preserve"> reasons. First, although self-dealing transactions that involve </w:t>
      </w:r>
      <w:r w:rsidR="00B26031" w:rsidRPr="003170A4">
        <w:rPr>
          <w:rFonts w:asciiTheme="majorBidi" w:hAnsiTheme="majorBidi" w:cstheme="majorBidi"/>
        </w:rPr>
        <w:t xml:space="preserve">a </w:t>
      </w:r>
      <w:r w:rsidRPr="003170A4">
        <w:rPr>
          <w:rFonts w:asciiTheme="majorBidi" w:hAnsiTheme="majorBidi" w:cstheme="majorBidi"/>
        </w:rPr>
        <w:t>controller</w:t>
      </w:r>
      <w:r w:rsidR="00B26031" w:rsidRPr="003170A4">
        <w:rPr>
          <w:rFonts w:asciiTheme="majorBidi" w:hAnsiTheme="majorBidi" w:cstheme="majorBidi"/>
        </w:rPr>
        <w:t>’s</w:t>
      </w:r>
      <w:r w:rsidRPr="003170A4">
        <w:rPr>
          <w:rFonts w:asciiTheme="majorBidi" w:hAnsiTheme="majorBidi" w:cstheme="majorBidi"/>
        </w:rPr>
        <w:t xml:space="preserve"> vision raise an insurmountable valuation challenge, the flaws we identify in the </w:t>
      </w:r>
      <w:r w:rsidRPr="003170A4">
        <w:rPr>
          <w:rFonts w:asciiTheme="majorBidi" w:hAnsiTheme="majorBidi" w:cstheme="majorBidi"/>
          <w:i/>
          <w:iCs/>
        </w:rPr>
        <w:t>MFW</w:t>
      </w:r>
      <w:r w:rsidRPr="003170A4">
        <w:rPr>
          <w:rFonts w:asciiTheme="majorBidi" w:hAnsiTheme="majorBidi" w:cstheme="majorBidi"/>
        </w:rPr>
        <w:t xml:space="preserve"> framework apply to all self-dealing transactions. Specifically, our modifications are consistent with Delaware jurisprudence that has treated the two </w:t>
      </w:r>
      <w:r w:rsidRPr="003170A4">
        <w:rPr>
          <w:rFonts w:asciiTheme="majorBidi" w:hAnsiTheme="majorBidi" w:cstheme="majorBidi"/>
          <w:i/>
          <w:iCs/>
        </w:rPr>
        <w:t>MFW</w:t>
      </w:r>
      <w:r w:rsidRPr="003170A4">
        <w:rPr>
          <w:rFonts w:asciiTheme="majorBidi" w:hAnsiTheme="majorBidi" w:cstheme="majorBidi"/>
        </w:rPr>
        <w:t xml:space="preserve"> conditions as separate, and preserve the signal conveyed by an informed shareholder vote concerning the fairness of the transaction’s financial term. </w:t>
      </w:r>
      <w:r w:rsidR="00B26031" w:rsidRPr="003170A4">
        <w:rPr>
          <w:rFonts w:asciiTheme="majorBidi" w:hAnsiTheme="majorBidi" w:cstheme="majorBidi"/>
        </w:rPr>
        <w:t>Second</w:t>
      </w:r>
      <w:r w:rsidRPr="003170A4">
        <w:rPr>
          <w:rFonts w:asciiTheme="majorBidi" w:hAnsiTheme="majorBidi" w:cstheme="majorBidi"/>
        </w:rPr>
        <w:t xml:space="preserve">, our proposals have practical appeal because they limit stringent review and valuation (which is a complex task even when idiosyncratic vision is not at stake) to the circumstances most needed. </w:t>
      </w:r>
    </w:p>
  </w:footnote>
  <w:footnote w:id="50">
    <w:p w14:paraId="47EEA1C7" w14:textId="3A4596C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As we discuss in Part X, our discussion of idiosyncratic vision reveals a crucial valuation issue that complicates entire fairness review of controller transactions when vision is at stake. But our proposal extends beyond those transactions because the deficiencies in the </w:t>
      </w:r>
      <w:r w:rsidRPr="003170A4">
        <w:rPr>
          <w:rFonts w:asciiTheme="majorBidi" w:hAnsiTheme="majorBidi" w:cstheme="majorBidi"/>
          <w:i/>
          <w:iCs/>
        </w:rPr>
        <w:t>MFW</w:t>
      </w:r>
      <w:r w:rsidRPr="003170A4">
        <w:rPr>
          <w:rFonts w:asciiTheme="majorBidi" w:hAnsiTheme="majorBidi" w:cstheme="majorBidi"/>
        </w:rPr>
        <w:t xml:space="preserve"> framework affect all transactions—not just those involving vision. For another proposal to modify the entire fairness framework, see Jill E. Fisch &amp; Steven Davidoff Solomon, </w:t>
      </w:r>
      <w:r w:rsidRPr="003170A4">
        <w:rPr>
          <w:rFonts w:asciiTheme="majorBidi" w:hAnsiTheme="majorBidi" w:cstheme="majorBidi"/>
          <w:i/>
          <w:iCs/>
        </w:rPr>
        <w:t xml:space="preserve">Control and Its Discontents </w:t>
      </w:r>
      <w:r w:rsidRPr="003170A4">
        <w:rPr>
          <w:rFonts w:asciiTheme="majorBidi" w:hAnsiTheme="majorBidi" w:cstheme="majorBidi"/>
          <w:smallCaps/>
        </w:rPr>
        <w:t xml:space="preserve">U. Pa. L. Rev. </w:t>
      </w:r>
      <w:r w:rsidRPr="003170A4">
        <w:rPr>
          <w:rFonts w:asciiTheme="majorBidi" w:hAnsiTheme="majorBidi" w:cstheme="majorBidi"/>
        </w:rPr>
        <w:t xml:space="preserve">(forthcoming 2025). </w:t>
      </w:r>
    </w:p>
  </w:footnote>
  <w:footnote w:id="51">
    <w:p w14:paraId="64DC031C" w14:textId="2A738CC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Def. Opening Br., 2018 WL 4362284 31-33 (Del.Ch.).</w:t>
      </w:r>
    </w:p>
  </w:footnote>
  <w:footnote w:id="52">
    <w:p w14:paraId="3A69F0FD" w14:textId="5635CA6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As we explain below, the SEC disclosure requirements concerning the process leading to freezeout transactions are more expansive than the requirements concerning other self-dealing transactions. </w:t>
      </w:r>
      <w:r w:rsidRPr="003170A4">
        <w:rPr>
          <w:rFonts w:asciiTheme="majorBidi" w:hAnsiTheme="majorBidi" w:cstheme="majorBidi"/>
          <w:i/>
          <w:iCs/>
        </w:rPr>
        <w:t xml:space="preserve">See supra </w:t>
      </w:r>
      <w:r w:rsidRPr="003170A4">
        <w:rPr>
          <w:rFonts w:asciiTheme="majorBidi" w:hAnsiTheme="majorBidi" w:cstheme="majorBidi"/>
        </w:rPr>
        <w:t xml:space="preserve">text accompanying notes </w:t>
      </w:r>
      <w:r w:rsidRPr="003170A4">
        <w:rPr>
          <w:rFonts w:asciiTheme="majorBidi" w:hAnsiTheme="majorBidi" w:cstheme="majorBidi"/>
        </w:rPr>
        <w:fldChar w:fldCharType="begin"/>
      </w:r>
      <w:r w:rsidRPr="003170A4">
        <w:rPr>
          <w:rFonts w:asciiTheme="majorBidi" w:hAnsiTheme="majorBidi" w:cstheme="majorBidi"/>
        </w:rPr>
        <w:instrText xml:space="preserve"> NOTEREF _Ref181862310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234</w:t>
      </w:r>
      <w:r w:rsidRPr="003170A4">
        <w:rPr>
          <w:rFonts w:asciiTheme="majorBidi" w:hAnsiTheme="majorBidi" w:cstheme="majorBidi"/>
        </w:rPr>
        <w:fldChar w:fldCharType="end"/>
      </w:r>
      <w:r w:rsidRPr="003170A4">
        <w:rPr>
          <w:rFonts w:asciiTheme="majorBidi" w:hAnsiTheme="majorBidi" w:cstheme="majorBidi"/>
        </w:rPr>
        <w:t>-</w:t>
      </w:r>
      <w:r w:rsidRPr="003170A4">
        <w:rPr>
          <w:rFonts w:asciiTheme="majorBidi" w:hAnsiTheme="majorBidi" w:cstheme="majorBidi"/>
        </w:rPr>
        <w:fldChar w:fldCharType="begin"/>
      </w:r>
      <w:r w:rsidRPr="003170A4">
        <w:rPr>
          <w:rFonts w:asciiTheme="majorBidi" w:hAnsiTheme="majorBidi" w:cstheme="majorBidi"/>
        </w:rPr>
        <w:instrText xml:space="preserve"> NOTEREF _Ref181862314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237</w:t>
      </w:r>
      <w:r w:rsidRPr="003170A4">
        <w:rPr>
          <w:rFonts w:asciiTheme="majorBidi" w:hAnsiTheme="majorBidi" w:cstheme="majorBidi"/>
        </w:rPr>
        <w:fldChar w:fldCharType="end"/>
      </w:r>
      <w:r w:rsidRPr="003170A4">
        <w:rPr>
          <w:rFonts w:asciiTheme="majorBidi" w:hAnsiTheme="majorBidi" w:cstheme="majorBidi"/>
        </w:rPr>
        <w:t>. We believe that the SEC should expand the disclosure requirements that apply to self-dealing transactions.</w:t>
      </w:r>
    </w:p>
  </w:footnote>
  <w:footnote w:id="53">
    <w:p w14:paraId="49E611DC"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This mirrors the approach Delaware courts take for </w:t>
      </w:r>
      <w:r w:rsidRPr="003170A4">
        <w:rPr>
          <w:rFonts w:asciiTheme="majorBidi" w:hAnsiTheme="majorBidi" w:cstheme="majorBidi"/>
          <w:i/>
          <w:iCs/>
        </w:rPr>
        <w:t>Revlon</w:t>
      </w:r>
      <w:r w:rsidRPr="003170A4">
        <w:rPr>
          <w:rFonts w:asciiTheme="majorBidi" w:hAnsiTheme="majorBidi" w:cstheme="majorBidi"/>
        </w:rPr>
        <w:t xml:space="preserve"> claims involving the board’s duty to maximize the price of the company when there is a sale of control. </w:t>
      </w:r>
      <w:r w:rsidRPr="003170A4">
        <w:rPr>
          <w:rFonts w:asciiTheme="majorBidi" w:hAnsiTheme="majorBidi" w:cstheme="majorBidi"/>
          <w:i/>
          <w:iCs/>
        </w:rPr>
        <w:t>See Revlon, Inc. v. MacAndrews &amp; Forbes Holdings</w:t>
      </w:r>
      <w:r w:rsidRPr="003170A4">
        <w:rPr>
          <w:rFonts w:asciiTheme="majorBidi" w:hAnsiTheme="majorBidi" w:cstheme="majorBidi"/>
        </w:rPr>
        <w:t xml:space="preserve">, 506 A.2d 173 (Del. 1986). After a deal closes, however, </w:t>
      </w:r>
      <w:r w:rsidRPr="003170A4">
        <w:rPr>
          <w:rFonts w:asciiTheme="majorBidi" w:hAnsiTheme="majorBidi" w:cstheme="majorBidi"/>
          <w:i/>
          <w:iCs/>
        </w:rPr>
        <w:t>Revlon</w:t>
      </w:r>
      <w:r w:rsidRPr="003170A4">
        <w:rPr>
          <w:rFonts w:asciiTheme="majorBidi" w:hAnsiTheme="majorBidi" w:cstheme="majorBidi"/>
        </w:rPr>
        <w:t xml:space="preserve"> claims are eliminated by an informed, uncoerced shareholder vote approving the transaction—a rule established in </w:t>
      </w:r>
      <w:r w:rsidRPr="003170A4">
        <w:rPr>
          <w:rFonts w:asciiTheme="majorBidi" w:hAnsiTheme="majorBidi" w:cstheme="majorBidi"/>
          <w:i/>
          <w:iCs/>
        </w:rPr>
        <w:t>Corwin</w:t>
      </w:r>
      <w:r w:rsidRPr="003170A4">
        <w:rPr>
          <w:rFonts w:asciiTheme="majorBidi" w:hAnsiTheme="majorBidi" w:cstheme="majorBidi"/>
        </w:rPr>
        <w:t xml:space="preserve">. Shareholders must bring </w:t>
      </w:r>
      <w:r w:rsidRPr="003170A4">
        <w:rPr>
          <w:rFonts w:asciiTheme="majorBidi" w:hAnsiTheme="majorBidi" w:cstheme="majorBidi"/>
          <w:i/>
          <w:iCs/>
        </w:rPr>
        <w:t>Revlon</w:t>
      </w:r>
      <w:r w:rsidRPr="003170A4">
        <w:rPr>
          <w:rFonts w:asciiTheme="majorBidi" w:hAnsiTheme="majorBidi" w:cstheme="majorBidi"/>
        </w:rPr>
        <w:t xml:space="preserve"> claims before closing, so that the court can correct the process if needed.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 xml:space="preserve">Corwin v. KKR Fin. </w:t>
      </w:r>
      <w:proofErr w:type="spellStart"/>
      <w:r w:rsidRPr="003170A4">
        <w:rPr>
          <w:rFonts w:asciiTheme="majorBidi" w:hAnsiTheme="majorBidi" w:cstheme="majorBidi"/>
          <w:i/>
          <w:iCs/>
        </w:rPr>
        <w:t>Hldgs</w:t>
      </w:r>
      <w:proofErr w:type="spellEnd"/>
      <w:r w:rsidRPr="003170A4">
        <w:rPr>
          <w:rFonts w:asciiTheme="majorBidi" w:hAnsiTheme="majorBidi" w:cstheme="majorBidi"/>
          <w:i/>
          <w:iCs/>
        </w:rPr>
        <w:t>. LLC</w:t>
      </w:r>
      <w:r w:rsidRPr="003170A4">
        <w:rPr>
          <w:rFonts w:asciiTheme="majorBidi" w:hAnsiTheme="majorBidi" w:cstheme="majorBidi"/>
        </w:rPr>
        <w:t>, 125 A.3d 304 (Del. 2015).</w:t>
      </w:r>
    </w:p>
  </w:footnote>
  <w:footnote w:id="54">
    <w:p w14:paraId="47917FFA" w14:textId="7A22541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Id. </w:t>
      </w:r>
    </w:p>
  </w:footnote>
  <w:footnote w:id="55">
    <w:p w14:paraId="56FD98D9"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Cinerama, Inc. v. Technicolor, Inc.</w:t>
      </w:r>
      <w:r w:rsidRPr="003170A4">
        <w:rPr>
          <w:rFonts w:asciiTheme="majorBidi" w:hAnsiTheme="majorBidi" w:cstheme="majorBidi"/>
        </w:rPr>
        <w:t xml:space="preserve">, 663 A.2d 1134, 1143 (Del. Ch. 1994) (“Cinerama I”), aff’d, 663 A.2d 1156 (Del. 1995) (“Cinerama II”) (directors must establish that valuation fell within a “range of fairness,” which is one ““that a reasonable seller, under all of the circumstances, would regard as within a range of fair value; one that such a seller could reasonably accept.”). </w:t>
      </w:r>
    </w:p>
  </w:footnote>
  <w:footnote w:id="56">
    <w:p w14:paraId="46D0EB91" w14:textId="45D9744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In re Match</w:t>
      </w:r>
      <w:r w:rsidRPr="003170A4">
        <w:rPr>
          <w:rFonts w:asciiTheme="majorBidi" w:hAnsiTheme="majorBidi" w:cstheme="majorBidi"/>
        </w:rPr>
        <w:t xml:space="preserve">, 315 A.3d at 473; </w:t>
      </w:r>
      <w:r w:rsidRPr="003170A4">
        <w:rPr>
          <w:rFonts w:asciiTheme="majorBidi" w:hAnsiTheme="majorBidi" w:cstheme="majorBidi"/>
          <w:i/>
          <w:iCs/>
        </w:rPr>
        <w:t>see also Kahn v. Lynch Commc’n Sys.,</w:t>
      </w:r>
      <w:r w:rsidRPr="003170A4">
        <w:rPr>
          <w:rFonts w:asciiTheme="majorBidi" w:hAnsiTheme="majorBidi" w:cstheme="majorBidi"/>
        </w:rPr>
        <w:t xml:space="preserve"> 669 A.2d 79 (Del. 1995). For a critique of the inherent coercion doctrine, </w:t>
      </w:r>
      <w:r w:rsidRPr="003170A4">
        <w:rPr>
          <w:rFonts w:asciiTheme="majorBidi" w:hAnsiTheme="majorBidi" w:cstheme="majorBidi"/>
          <w:i/>
          <w:iCs/>
        </w:rPr>
        <w:t>see</w:t>
      </w:r>
      <w:r w:rsidRPr="003170A4">
        <w:rPr>
          <w:rFonts w:asciiTheme="majorBidi" w:hAnsiTheme="majorBidi" w:cstheme="majorBidi"/>
        </w:rPr>
        <w:t xml:space="preserve"> Hamermesh, </w:t>
      </w:r>
      <w:r w:rsidRPr="003170A4">
        <w:rPr>
          <w:rFonts w:asciiTheme="majorBidi" w:hAnsiTheme="majorBidi" w:cstheme="majorBidi"/>
          <w:i/>
          <w:iCs/>
        </w:rPr>
        <w:t xml:space="preserve">supra </w:t>
      </w:r>
      <w:r w:rsidRPr="003170A4">
        <w:rPr>
          <w:rFonts w:asciiTheme="majorBidi" w:hAnsiTheme="majorBidi" w:cstheme="majorBidi"/>
        </w:rPr>
        <w:t>note 18.</w:t>
      </w:r>
    </w:p>
  </w:footnote>
  <w:footnote w:id="57">
    <w:p w14:paraId="247167A4" w14:textId="1CE2322E" w:rsidR="00B54C7C" w:rsidRPr="003170A4" w:rsidRDefault="00B54C7C" w:rsidP="00507A4E">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For simplicity, the text assumes that Tesla shareholders were informed about the financial terms underlying Musk’s pay arrangement. The Chancery Court, however, found that the proxy statement did not disclose that, under the company’s projections</w:t>
      </w:r>
      <w:r w:rsidR="00507A4E" w:rsidRPr="003170A4">
        <w:rPr>
          <w:rFonts w:asciiTheme="majorBidi" w:hAnsiTheme="majorBidi" w:cstheme="majorBidi"/>
        </w:rPr>
        <w:t xml:space="preserve"> for accounting purposes</w:t>
      </w:r>
      <w:r w:rsidRPr="003170A4">
        <w:rPr>
          <w:rFonts w:asciiTheme="majorBidi" w:hAnsiTheme="majorBidi" w:cstheme="majorBidi"/>
        </w:rPr>
        <w:t xml:space="preserve">, Tesla would achieve some of the milestones by 2020. </w:t>
      </w:r>
      <w:r w:rsidRPr="003170A4">
        <w:rPr>
          <w:rFonts w:asciiTheme="majorBidi" w:hAnsiTheme="majorBidi" w:cstheme="majorBidi"/>
          <w:i/>
          <w:iCs/>
        </w:rPr>
        <w:t>Tornetta</w:t>
      </w:r>
      <w:r w:rsidRPr="003170A4">
        <w:rPr>
          <w:rFonts w:asciiTheme="majorBidi" w:hAnsiTheme="majorBidi" w:cstheme="majorBidi"/>
        </w:rPr>
        <w:t>, 310 A.3d</w:t>
      </w:r>
      <w:r w:rsidRPr="003170A4" w:rsidDel="00A54374">
        <w:rPr>
          <w:rFonts w:asciiTheme="majorBidi" w:hAnsiTheme="majorBidi" w:cstheme="majorBidi"/>
        </w:rPr>
        <w:t xml:space="preserve"> </w:t>
      </w:r>
      <w:r w:rsidRPr="003170A4">
        <w:rPr>
          <w:rFonts w:asciiTheme="majorBidi" w:hAnsiTheme="majorBidi" w:cstheme="majorBidi"/>
        </w:rPr>
        <w:t xml:space="preserve">at 488. </w:t>
      </w:r>
      <w:r w:rsidRPr="003170A4">
        <w:rPr>
          <w:rFonts w:asciiTheme="majorBidi" w:hAnsiTheme="majorBidi" w:cstheme="majorBidi"/>
          <w:i/>
          <w:iCs/>
        </w:rPr>
        <w:t xml:space="preserve">See also </w:t>
      </w:r>
      <w:r w:rsidRPr="003170A4">
        <w:rPr>
          <w:rFonts w:asciiTheme="majorBidi" w:hAnsiTheme="majorBidi" w:cstheme="majorBidi"/>
        </w:rPr>
        <w:t xml:space="preserve">our discussion in footnote </w:t>
      </w:r>
      <w:r w:rsidRPr="003170A4">
        <w:rPr>
          <w:rFonts w:asciiTheme="majorBidi" w:hAnsiTheme="majorBidi" w:cstheme="majorBidi"/>
        </w:rPr>
        <w:fldChar w:fldCharType="begin"/>
      </w:r>
      <w:r w:rsidRPr="003170A4">
        <w:rPr>
          <w:rFonts w:asciiTheme="majorBidi" w:hAnsiTheme="majorBidi" w:cstheme="majorBidi"/>
        </w:rPr>
        <w:instrText xml:space="preserve"> NOTEREF _Ref184397393 \h </w:instrText>
      </w:r>
      <w:r w:rsidR="003170A4" w:rsidRPr="003170A4">
        <w:rPr>
          <w:rFonts w:asciiTheme="majorBidi" w:hAnsiTheme="majorBidi" w:cstheme="majorBidi"/>
        </w:rPr>
        <w:instrText xml:space="preserve">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192</w:t>
      </w:r>
      <w:r w:rsidRPr="003170A4">
        <w:rPr>
          <w:rFonts w:asciiTheme="majorBidi" w:hAnsiTheme="majorBidi" w:cstheme="majorBidi"/>
        </w:rPr>
        <w:fldChar w:fldCharType="end"/>
      </w:r>
      <w:r w:rsidRPr="003170A4">
        <w:rPr>
          <w:rFonts w:asciiTheme="majorBidi" w:hAnsiTheme="majorBidi" w:cstheme="majorBidi"/>
        </w:rPr>
        <w:t xml:space="preserve"> </w:t>
      </w:r>
      <w:r w:rsidRPr="003170A4">
        <w:rPr>
          <w:rFonts w:asciiTheme="majorBidi" w:hAnsiTheme="majorBidi" w:cstheme="majorBidi"/>
          <w:i/>
          <w:iCs/>
        </w:rPr>
        <w:t>infra</w:t>
      </w:r>
      <w:r w:rsidRPr="003170A4">
        <w:rPr>
          <w:rFonts w:asciiTheme="majorBidi" w:hAnsiTheme="majorBidi" w:cstheme="majorBidi"/>
        </w:rPr>
        <w:t xml:space="preserve">. </w:t>
      </w:r>
    </w:p>
  </w:footnote>
  <w:footnote w:id="58">
    <w:p w14:paraId="588451F6" w14:textId="4ABA18D8" w:rsidR="00B54C7C" w:rsidRPr="003170A4" w:rsidRDefault="00B54C7C" w:rsidP="00B26031">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Recent empirical work demonstrates that the disinterested shareholder voting condition is not often used because it subjects the company to shareholder holdouts. See Subramanian and Restrepo, supra n. X. Our analysis reveals another reason why the majority of minority shareholder vote has become less appealing: it is very easy for plaintiffs’ lawyers to identify disclosure failures that invalidate it.  See, e.g., Tornetta, 310 A. 3d. 430 (2024); Tornetta II, Therefore, by limiting the scope of those disclosure failures, our proposal would encourage deal planners to continue to use this valuable protection for shareholders. </w:t>
      </w:r>
    </w:p>
  </w:footnote>
  <w:footnote w:id="59">
    <w:p w14:paraId="24D404A4" w14:textId="4C5FC56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 e.g.,</w:t>
      </w:r>
      <w:r w:rsidRPr="003170A4">
        <w:rPr>
          <w:rFonts w:asciiTheme="majorBidi" w:hAnsiTheme="majorBidi" w:cstheme="majorBidi"/>
        </w:rPr>
        <w:t xml:space="preserve"> Rafael LaPorta, Florencio Lopez-de-Silanes, Andrei Shleifer, Robert </w:t>
      </w:r>
      <w:proofErr w:type="spellStart"/>
      <w:r w:rsidRPr="003170A4">
        <w:rPr>
          <w:rFonts w:asciiTheme="majorBidi" w:hAnsiTheme="majorBidi" w:cstheme="majorBidi"/>
        </w:rPr>
        <w:t>Vishny</w:t>
      </w:r>
      <w:proofErr w:type="spellEnd"/>
      <w:r w:rsidRPr="003170A4">
        <w:rPr>
          <w:rFonts w:asciiTheme="majorBidi" w:hAnsiTheme="majorBidi" w:cstheme="majorBidi"/>
        </w:rPr>
        <w:t xml:space="preserve">, </w:t>
      </w:r>
      <w:r w:rsidRPr="003170A4">
        <w:rPr>
          <w:rFonts w:asciiTheme="majorBidi" w:hAnsiTheme="majorBidi" w:cstheme="majorBidi"/>
          <w:i/>
          <w:iCs/>
        </w:rPr>
        <w:t xml:space="preserve">Investor Protection and Corporate Governance, </w:t>
      </w:r>
      <w:r w:rsidRPr="003170A4">
        <w:rPr>
          <w:rFonts w:asciiTheme="majorBidi" w:hAnsiTheme="majorBidi" w:cstheme="majorBidi"/>
        </w:rPr>
        <w:t>58 J. Fin. Econ. 3 (2000).</w:t>
      </w:r>
    </w:p>
  </w:footnote>
  <w:footnote w:id="60">
    <w:p w14:paraId="5FC3C8D9" w14:textId="2CABC45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Although this Article explores this issue through the lens of Musk and the </w:t>
      </w:r>
      <w:r w:rsidRPr="003170A4">
        <w:rPr>
          <w:rFonts w:asciiTheme="majorBidi" w:hAnsiTheme="majorBidi" w:cstheme="majorBidi"/>
          <w:i/>
          <w:iCs/>
        </w:rPr>
        <w:t xml:space="preserve">Tornetta </w:t>
      </w:r>
      <w:r w:rsidRPr="003170A4">
        <w:rPr>
          <w:rFonts w:asciiTheme="majorBidi" w:hAnsiTheme="majorBidi" w:cstheme="majorBidi"/>
        </w:rPr>
        <w:t xml:space="preserve">case, entrepreneurs are increasingly women and people of color. </w:t>
      </w:r>
      <w:hyperlink r:id="rId5" w:history="1">
        <w:r w:rsidRPr="003170A4">
          <w:rPr>
            <w:rStyle w:val="Hyperlink"/>
            <w:rFonts w:asciiTheme="majorBidi" w:hAnsiTheme="majorBidi" w:cstheme="majorBidi"/>
            <w:color w:val="auto"/>
            <w:u w:val="none"/>
          </w:rPr>
          <w:t>https://www.weforum.org/agenda/2022/07/women-entrepreneurs-gusto-gender/</w:t>
        </w:r>
      </w:hyperlink>
      <w:r w:rsidRPr="003170A4">
        <w:rPr>
          <w:rFonts w:asciiTheme="majorBidi" w:hAnsiTheme="majorBidi" w:cstheme="majorBidi"/>
        </w:rPr>
        <w:t xml:space="preserve">. As such, this issue matters not just for Musk, but for innovative entrepreneurs who seek to execute transformative ideas across the country. </w:t>
      </w:r>
    </w:p>
  </w:footnote>
  <w:footnote w:id="61">
    <w:p w14:paraId="680814A0" w14:textId="5498D95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Delaware competes with not only other states, but also the federal government, for regulatory authority over most corporations. Mark J. Roe, </w:t>
      </w:r>
      <w:r w:rsidRPr="003170A4">
        <w:rPr>
          <w:rFonts w:asciiTheme="majorBidi" w:hAnsiTheme="majorBidi" w:cstheme="majorBidi"/>
          <w:i/>
          <w:iCs/>
        </w:rPr>
        <w:t>Delaware’s Competition</w:t>
      </w:r>
      <w:r w:rsidRPr="003170A4">
        <w:rPr>
          <w:rFonts w:asciiTheme="majorBidi" w:hAnsiTheme="majorBidi" w:cstheme="majorBidi"/>
        </w:rPr>
        <w:t xml:space="preserve">, 117 Harv. L. Rev. 588 (2003). In 2024, scholars and media commentators began to argue that Delaware’s superiority was now in question—due in part to decisions like that of </w:t>
      </w:r>
      <w:r w:rsidRPr="003170A4">
        <w:rPr>
          <w:rFonts w:asciiTheme="majorBidi" w:hAnsiTheme="majorBidi" w:cstheme="majorBidi"/>
          <w:i/>
          <w:iCs/>
        </w:rPr>
        <w:t xml:space="preserve">Tornetta. </w:t>
      </w:r>
      <w:r w:rsidRPr="003170A4">
        <w:rPr>
          <w:rFonts w:asciiTheme="majorBidi" w:hAnsiTheme="majorBidi" w:cstheme="majorBidi"/>
        </w:rPr>
        <w:t xml:space="preserve">https://www.ecgi.global/sites/default/files/working_papers/documents/nevadavdelaware.pdf, Michal Barzuza, </w:t>
      </w:r>
      <w:r w:rsidRPr="003170A4">
        <w:rPr>
          <w:rFonts w:asciiTheme="majorBidi" w:hAnsiTheme="majorBidi" w:cstheme="majorBidi"/>
          <w:i/>
          <w:iCs/>
        </w:rPr>
        <w:t>Nevada v. Delaware: The New Market for Corporate Law</w:t>
      </w:r>
      <w:r w:rsidRPr="003170A4">
        <w:rPr>
          <w:rFonts w:asciiTheme="majorBidi" w:hAnsiTheme="majorBidi" w:cstheme="majorBidi"/>
        </w:rPr>
        <w:t xml:space="preserve">, ECGI Working Paper (March 2024), </w:t>
      </w:r>
      <w:hyperlink r:id="rId6" w:history="1">
        <w:r w:rsidRPr="003170A4">
          <w:rPr>
            <w:rStyle w:val="Hyperlink"/>
            <w:rFonts w:asciiTheme="majorBidi" w:hAnsiTheme="majorBidi" w:cstheme="majorBidi"/>
            <w:color w:val="auto"/>
            <w:u w:val="none"/>
          </w:rPr>
          <w:t>https://www.ecgi.global/sites/default/files/working_papers/documents/nevadavdelaware.pdf</w:t>
        </w:r>
      </w:hyperlink>
      <w:r w:rsidRPr="003170A4">
        <w:rPr>
          <w:rFonts w:asciiTheme="majorBidi" w:hAnsiTheme="majorBidi" w:cstheme="majorBidi"/>
        </w:rPr>
        <w:t xml:space="preserve">; Sujeet </w:t>
      </w:r>
      <w:proofErr w:type="spellStart"/>
      <w:r w:rsidRPr="003170A4">
        <w:rPr>
          <w:rFonts w:asciiTheme="majorBidi" w:hAnsiTheme="majorBidi" w:cstheme="majorBidi"/>
        </w:rPr>
        <w:t>Indep</w:t>
      </w:r>
      <w:proofErr w:type="spellEnd"/>
      <w:r w:rsidRPr="003170A4">
        <w:rPr>
          <w:rFonts w:asciiTheme="majorBidi" w:hAnsiTheme="majorBidi" w:cstheme="majorBidi"/>
        </w:rPr>
        <w:t xml:space="preserve"> &amp; Myles McCormick, </w:t>
      </w:r>
      <w:r w:rsidRPr="003170A4">
        <w:rPr>
          <w:rFonts w:asciiTheme="majorBidi" w:hAnsiTheme="majorBidi" w:cstheme="majorBidi"/>
          <w:i/>
          <w:iCs/>
        </w:rPr>
        <w:t>Can Elon Musk Derail Delaware?</w:t>
      </w:r>
      <w:r w:rsidRPr="003170A4">
        <w:rPr>
          <w:rFonts w:asciiTheme="majorBidi" w:hAnsiTheme="majorBidi" w:cstheme="majorBidi"/>
        </w:rPr>
        <w:t xml:space="preserve">, Fin. T. (Feb. 4. 2024), https://www.ft.com/content/2dff823d-6821-4519-8ca2-05bda288c574. </w:t>
      </w:r>
    </w:p>
  </w:footnote>
  <w:footnote w:id="62">
    <w:p w14:paraId="3821C60B"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Simeon </w:t>
      </w:r>
      <w:proofErr w:type="spellStart"/>
      <w:r w:rsidRPr="003170A4">
        <w:rPr>
          <w:rFonts w:asciiTheme="majorBidi" w:hAnsiTheme="majorBidi" w:cstheme="majorBidi"/>
        </w:rPr>
        <w:t>Djankov</w:t>
      </w:r>
      <w:proofErr w:type="spellEnd"/>
      <w:r w:rsidRPr="003170A4">
        <w:rPr>
          <w:rFonts w:asciiTheme="majorBidi" w:hAnsiTheme="majorBidi" w:cstheme="majorBidi"/>
        </w:rPr>
        <w:t xml:space="preserve">, Rafael La Porta, Florencio Lopez-de-Silanes &amp; Andrei Shleifer, </w:t>
      </w:r>
      <w:r w:rsidRPr="003170A4">
        <w:rPr>
          <w:rFonts w:asciiTheme="majorBidi" w:hAnsiTheme="majorBidi" w:cstheme="majorBidi"/>
          <w:i/>
          <w:iCs/>
        </w:rPr>
        <w:t>The Law and Economics of Self-Dealing</w:t>
      </w:r>
      <w:r w:rsidRPr="003170A4">
        <w:rPr>
          <w:rFonts w:asciiTheme="majorBidi" w:hAnsiTheme="majorBidi" w:cstheme="majorBidi"/>
        </w:rPr>
        <w:t xml:space="preserve">, 88 J. </w:t>
      </w:r>
      <w:r w:rsidRPr="003170A4">
        <w:rPr>
          <w:rFonts w:asciiTheme="majorBidi" w:hAnsiTheme="majorBidi" w:cstheme="majorBidi"/>
          <w:smallCaps/>
        </w:rPr>
        <w:t>Fin. Econ.</w:t>
      </w:r>
      <w:r w:rsidRPr="003170A4">
        <w:rPr>
          <w:rFonts w:asciiTheme="majorBidi" w:hAnsiTheme="majorBidi" w:cstheme="majorBidi"/>
        </w:rPr>
        <w:t xml:space="preserve"> 430, 430–31 (2008) (describing the increasing emphasis of academics on corporate self-dealing over the last twenty years); Ronald J. Gilson &amp; Alan Schwartz, </w:t>
      </w:r>
      <w:r w:rsidRPr="003170A4">
        <w:rPr>
          <w:rFonts w:asciiTheme="majorBidi" w:hAnsiTheme="majorBidi" w:cstheme="majorBidi"/>
          <w:i/>
          <w:iCs/>
        </w:rPr>
        <w:t>Constraints on Private Benefits of Control: Ex Ante Control Mechanisms Versus Ex Post Transaction Review</w:t>
      </w:r>
      <w:r w:rsidRPr="003170A4">
        <w:rPr>
          <w:rFonts w:asciiTheme="majorBidi" w:hAnsiTheme="majorBidi" w:cstheme="majorBidi"/>
        </w:rPr>
        <w:t xml:space="preserve">, 169 J. </w:t>
      </w:r>
      <w:r w:rsidRPr="003170A4">
        <w:rPr>
          <w:rFonts w:asciiTheme="majorBidi" w:hAnsiTheme="majorBidi" w:cstheme="majorBidi"/>
          <w:smallCaps/>
        </w:rPr>
        <w:t>Institutional &amp; Theoretical Econ.</w:t>
      </w:r>
      <w:r w:rsidRPr="003170A4">
        <w:rPr>
          <w:rFonts w:asciiTheme="majorBidi" w:hAnsiTheme="majorBidi" w:cstheme="majorBidi"/>
        </w:rPr>
        <w:t xml:space="preserve"> 160, 180–81 (2013) (arguing that ex post judicial review of transactions with controlling shareholders or their affiliates is superior to ex ante limits on dual-class and other leveraged control structures).</w:t>
      </w:r>
    </w:p>
  </w:footnote>
  <w:footnote w:id="63">
    <w:p w14:paraId="50FE7E9D" w14:textId="68925C9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Goshen, </w:t>
      </w:r>
      <w:r w:rsidRPr="003170A4">
        <w:rPr>
          <w:rFonts w:asciiTheme="majorBidi" w:hAnsiTheme="majorBidi" w:cstheme="majorBidi"/>
          <w:i/>
          <w:iCs/>
        </w:rPr>
        <w:t>supra</w:t>
      </w:r>
      <w:r w:rsidRPr="003170A4">
        <w:rPr>
          <w:rFonts w:asciiTheme="majorBidi" w:hAnsiTheme="majorBidi" w:cstheme="majorBidi"/>
        </w:rPr>
        <w:t xml:space="preserve"> note 19, at 576. </w:t>
      </w:r>
    </w:p>
  </w:footnote>
  <w:footnote w:id="64">
    <w:p w14:paraId="1DCB88A3" w14:textId="2793675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For a critique of the proposed European regime on self-dealing transactions, </w:t>
      </w:r>
      <w:r w:rsidRPr="003170A4">
        <w:rPr>
          <w:rFonts w:asciiTheme="majorBidi" w:hAnsiTheme="majorBidi" w:cstheme="majorBidi"/>
          <w:i/>
          <w:iCs/>
        </w:rPr>
        <w:t>see</w:t>
      </w:r>
      <w:r w:rsidRPr="003170A4">
        <w:rPr>
          <w:rFonts w:asciiTheme="majorBidi" w:hAnsiTheme="majorBidi" w:cstheme="majorBidi"/>
        </w:rPr>
        <w:t xml:space="preserve"> Luca Enriques, </w:t>
      </w:r>
      <w:r w:rsidRPr="003170A4">
        <w:rPr>
          <w:rFonts w:asciiTheme="majorBidi" w:hAnsiTheme="majorBidi" w:cstheme="majorBidi"/>
          <w:i/>
          <w:iCs/>
        </w:rPr>
        <w:t>Related Party Transactions: Policy Options and Real-World Challenges (with a Critique of the European Commission Proposal)</w:t>
      </w:r>
      <w:r w:rsidRPr="003170A4">
        <w:rPr>
          <w:rFonts w:asciiTheme="majorBidi" w:hAnsiTheme="majorBidi" w:cstheme="majorBidi"/>
        </w:rPr>
        <w:t xml:space="preserve">, 16 </w:t>
      </w:r>
      <w:r w:rsidRPr="003170A4">
        <w:rPr>
          <w:rFonts w:asciiTheme="majorBidi" w:hAnsiTheme="majorBidi" w:cstheme="majorBidi"/>
          <w:smallCaps/>
        </w:rPr>
        <w:t>Eur. Bus. Org. L. Rev</w:t>
      </w:r>
      <w:r w:rsidRPr="003170A4">
        <w:rPr>
          <w:rFonts w:asciiTheme="majorBidi" w:hAnsiTheme="majorBidi" w:cstheme="majorBidi"/>
        </w:rPr>
        <w:t>. 1, 25–31 (2015).</w:t>
      </w:r>
    </w:p>
  </w:footnote>
  <w:footnote w:id="65">
    <w:p w14:paraId="67C408A7" w14:textId="2DF2A5E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Weinberger</w:t>
      </w:r>
      <w:r w:rsidRPr="003170A4">
        <w:rPr>
          <w:rFonts w:asciiTheme="majorBidi" w:hAnsiTheme="majorBidi" w:cstheme="majorBidi"/>
        </w:rPr>
        <w:t xml:space="preserve">, 457 A2d at 703, 711 (describing how transaction involving potential self-dealing concerns invoke the entire fairness standard); </w:t>
      </w:r>
      <w:r w:rsidRPr="003170A4">
        <w:rPr>
          <w:rFonts w:asciiTheme="majorBidi" w:hAnsiTheme="majorBidi" w:cstheme="majorBidi"/>
          <w:i/>
          <w:iCs/>
        </w:rPr>
        <w:t xml:space="preserve">see also </w:t>
      </w:r>
      <w:r w:rsidRPr="003170A4">
        <w:rPr>
          <w:rFonts w:asciiTheme="majorBidi" w:hAnsiTheme="majorBidi" w:cstheme="majorBidi"/>
        </w:rPr>
        <w:t xml:space="preserve">Ann Lipton, </w:t>
      </w:r>
      <w:r w:rsidRPr="003170A4">
        <w:rPr>
          <w:rFonts w:asciiTheme="majorBidi" w:hAnsiTheme="majorBidi" w:cstheme="majorBidi"/>
          <w:i/>
          <w:iCs/>
        </w:rPr>
        <w:t xml:space="preserve">the Three Faces of Control, </w:t>
      </w:r>
      <w:r w:rsidRPr="003170A4">
        <w:rPr>
          <w:rFonts w:asciiTheme="majorBidi" w:hAnsiTheme="majorBidi" w:cstheme="majorBidi"/>
        </w:rPr>
        <w:t xml:space="preserve">77 Bus. Law. 801 (2022) (discussing how controller conflict transactions differ from director conflict transactions, but that both warrant “entire fairness” review if not cleansed). </w:t>
      </w:r>
    </w:p>
  </w:footnote>
  <w:footnote w:id="66">
    <w:p w14:paraId="150618F2"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Frederick Hsu Living Tr. v. ODN Holding Corp.</w:t>
      </w:r>
      <w:r w:rsidRPr="003170A4">
        <w:rPr>
          <w:rFonts w:asciiTheme="majorBidi" w:hAnsiTheme="majorBidi" w:cstheme="majorBidi"/>
        </w:rPr>
        <w:t xml:space="preserve">, No. 121108-VCL, 2017 WL 1437308, at *26 (Del. Ch. Apr. 24, 2017) (describing entire fairness as an “onerous standard of review”). </w:t>
      </w:r>
    </w:p>
  </w:footnote>
  <w:footnote w:id="67">
    <w:p w14:paraId="45AC0A8A" w14:textId="4E7DAFF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68">
    <w:p w14:paraId="298CB357"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w:t>
      </w:r>
      <w:r w:rsidRPr="003170A4">
        <w:rPr>
          <w:rFonts w:asciiTheme="majorBidi" w:hAnsiTheme="majorBidi" w:cstheme="majorBidi"/>
          <w:i/>
          <w:iCs/>
        </w:rPr>
        <w:t>Rosenblatt v. Getty Oil Co.</w:t>
      </w:r>
      <w:r w:rsidRPr="003170A4">
        <w:rPr>
          <w:rFonts w:asciiTheme="majorBidi" w:hAnsiTheme="majorBidi" w:cstheme="majorBidi"/>
        </w:rPr>
        <w:t xml:space="preserve">, 493 A.2d 929, 937 (Del. 1983) (describing how transactions involving potential self-dealing concerns invoke the entire fairness standard). </w:t>
      </w:r>
    </w:p>
  </w:footnote>
  <w:footnote w:id="69">
    <w:p w14:paraId="15C8CF53" w14:textId="6D50663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This Article disregards the potential role of the board when its approval is required for self-dealing transactions. The extent to which boards—even without the judicial review—can truly be relied upon to resist powerful controllers is beyond the scope of this Article. For analysis of the challenges facing the oversight role of independent directors and potential reforms,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generally</w:t>
      </w:r>
      <w:r w:rsidRPr="003170A4">
        <w:rPr>
          <w:rFonts w:asciiTheme="majorBidi" w:hAnsiTheme="majorBidi" w:cstheme="majorBidi"/>
        </w:rPr>
        <w:t xml:space="preserve"> Lucian A. Bebchuk &amp; Assaf Hamdani, </w:t>
      </w:r>
      <w:r w:rsidRPr="003170A4">
        <w:rPr>
          <w:rFonts w:asciiTheme="majorBidi" w:hAnsiTheme="majorBidi" w:cstheme="majorBidi"/>
          <w:i/>
          <w:iCs/>
        </w:rPr>
        <w:t>Independent Directors and Controlling Shareholders</w:t>
      </w:r>
      <w:r w:rsidRPr="003170A4">
        <w:rPr>
          <w:rFonts w:asciiTheme="majorBidi" w:hAnsiTheme="majorBidi" w:cstheme="majorBidi"/>
        </w:rPr>
        <w:t>, 165</w:t>
      </w:r>
      <w:r w:rsidRPr="003170A4">
        <w:rPr>
          <w:rFonts w:asciiTheme="majorBidi" w:hAnsiTheme="majorBidi" w:cstheme="majorBidi"/>
          <w:smallCaps/>
        </w:rPr>
        <w:t xml:space="preserve"> U. Pa. L. Rev. </w:t>
      </w:r>
      <w:r w:rsidRPr="003170A4">
        <w:rPr>
          <w:rFonts w:asciiTheme="majorBidi" w:hAnsiTheme="majorBidi" w:cstheme="majorBidi"/>
        </w:rPr>
        <w:t xml:space="preserve">1271 (2017). </w:t>
      </w:r>
    </w:p>
  </w:footnote>
  <w:footnote w:id="70">
    <w:p w14:paraId="53C657E7"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Zohar Goshen, </w:t>
      </w:r>
      <w:r w:rsidRPr="003170A4">
        <w:rPr>
          <w:rFonts w:asciiTheme="majorBidi" w:hAnsiTheme="majorBidi" w:cstheme="majorBidi"/>
          <w:i/>
          <w:iCs/>
        </w:rPr>
        <w:t>The Efficiency of Controlling Corporate Self-Dealing: Theory Meets Reality</w:t>
      </w:r>
      <w:r w:rsidRPr="003170A4">
        <w:rPr>
          <w:rFonts w:asciiTheme="majorBidi" w:hAnsiTheme="majorBidi" w:cstheme="majorBidi"/>
        </w:rPr>
        <w:t xml:space="preserve">, 91 </w:t>
      </w:r>
      <w:r w:rsidRPr="003170A4">
        <w:rPr>
          <w:rFonts w:asciiTheme="majorBidi" w:hAnsiTheme="majorBidi" w:cstheme="majorBidi"/>
          <w:smallCaps/>
        </w:rPr>
        <w:t>Calif. L. Rev. 393, 4</w:t>
      </w:r>
      <w:r w:rsidRPr="003170A4">
        <w:rPr>
          <w:rFonts w:asciiTheme="majorBidi" w:hAnsiTheme="majorBidi" w:cstheme="majorBidi"/>
        </w:rPr>
        <w:t xml:space="preserve">26 (2003). </w:t>
      </w:r>
    </w:p>
  </w:footnote>
  <w:footnote w:id="71">
    <w:p w14:paraId="3981F71E"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Lawrence A. Hamermesh &amp; Leo E. Strine, Jr., </w:t>
      </w:r>
      <w:r w:rsidRPr="003170A4">
        <w:rPr>
          <w:rFonts w:asciiTheme="majorBidi" w:hAnsiTheme="majorBidi" w:cstheme="majorBidi"/>
          <w:i/>
          <w:iCs/>
        </w:rPr>
        <w:t>Fiduciary Principles and Delaware Corporation Law: Searching for the Optimal Balance by Understanding that the World is Not</w:t>
      </w:r>
      <w:r w:rsidRPr="003170A4">
        <w:rPr>
          <w:rFonts w:asciiTheme="majorBidi" w:hAnsiTheme="majorBidi" w:cstheme="majorBidi"/>
        </w:rPr>
        <w:t xml:space="preserve">, in </w:t>
      </w:r>
      <w:r w:rsidRPr="003170A4">
        <w:rPr>
          <w:rFonts w:asciiTheme="majorBidi" w:hAnsiTheme="majorBidi" w:cstheme="majorBidi"/>
          <w:smallCaps/>
        </w:rPr>
        <w:t xml:space="preserve">The Oxford Handbook of Fiduciary Law </w:t>
      </w:r>
      <w:r w:rsidRPr="003170A4">
        <w:rPr>
          <w:rFonts w:asciiTheme="majorBidi" w:hAnsiTheme="majorBidi" w:cstheme="majorBidi"/>
        </w:rPr>
        <w:t>871, 872 (Evan J. Criddle, Paul B. Miller &amp; Robert H. Sitkoff eds., 2019).</w:t>
      </w:r>
    </w:p>
  </w:footnote>
  <w:footnote w:id="72">
    <w:p w14:paraId="7B270DF5" w14:textId="761735F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R. Scott Widen, </w:t>
      </w:r>
      <w:r w:rsidRPr="003170A4">
        <w:rPr>
          <w:rFonts w:asciiTheme="majorBidi" w:hAnsiTheme="majorBidi" w:cstheme="majorBidi"/>
          <w:i/>
          <w:iCs/>
        </w:rPr>
        <w:t>Delaware Law, Financial Theory and Investment Banking Valuation Practice</w:t>
      </w:r>
      <w:r w:rsidRPr="003170A4">
        <w:rPr>
          <w:rFonts w:asciiTheme="majorBidi" w:hAnsiTheme="majorBidi" w:cstheme="majorBidi"/>
        </w:rPr>
        <w:t>, 4 N</w:t>
      </w:r>
      <w:r w:rsidRPr="003170A4">
        <w:rPr>
          <w:rFonts w:asciiTheme="majorBidi" w:hAnsiTheme="majorBidi" w:cstheme="majorBidi"/>
          <w:smallCaps/>
        </w:rPr>
        <w:t>.Y.U. J.L. &amp; Bus. 579</w:t>
      </w:r>
      <w:r w:rsidRPr="003170A4">
        <w:rPr>
          <w:rFonts w:asciiTheme="majorBidi" w:hAnsiTheme="majorBidi" w:cstheme="majorBidi"/>
        </w:rPr>
        <w:t xml:space="preserve">, 579 (2008) (“Delaware courts have developed a surprisingly large body of law regarding the proper analytics for valuing businesses. Most of this law has been developed in the context of adjudicating appraisal rights of dissenting shareholders in corporate M&amp;A or going-private transactions.”); </w:t>
      </w:r>
      <w:r w:rsidRPr="003170A4">
        <w:rPr>
          <w:rFonts w:asciiTheme="majorBidi" w:hAnsiTheme="majorBidi" w:cstheme="majorBidi"/>
          <w:i/>
          <w:iCs/>
        </w:rPr>
        <w:t>Weinberger</w:t>
      </w:r>
      <w:r w:rsidRPr="003170A4">
        <w:rPr>
          <w:rFonts w:asciiTheme="majorBidi" w:hAnsiTheme="majorBidi" w:cstheme="majorBidi"/>
        </w:rPr>
        <w:t xml:space="preserve">, 457 A2d at 711 (Fair price “relates to the economic and financial considerations of the proposed merger, including all relevant factors: assets, market value, earnings, future prospects, and any other elements that affect the intrinsic or inherent value of a company’s stock.”). </w:t>
      </w:r>
    </w:p>
  </w:footnote>
  <w:footnote w:id="73">
    <w:p w14:paraId="244F766D"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Weinberger</w:t>
      </w:r>
      <w:r w:rsidRPr="003170A4">
        <w:rPr>
          <w:rFonts w:asciiTheme="majorBidi" w:hAnsiTheme="majorBidi" w:cstheme="majorBidi"/>
        </w:rPr>
        <w:t>, 457 A.2d at 712–13.</w:t>
      </w:r>
    </w:p>
  </w:footnote>
  <w:footnote w:id="74">
    <w:p w14:paraId="3CFD9576" w14:textId="774F4D7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w:t>
      </w:r>
      <w:r w:rsidRPr="003170A4">
        <w:rPr>
          <w:rFonts w:asciiTheme="majorBidi" w:hAnsiTheme="majorBidi" w:cstheme="majorBidi"/>
          <w:i/>
          <w:iCs/>
        </w:rPr>
        <w:t>Merion Cap. L.P. v. Lender Processing Servs., Inc.</w:t>
      </w:r>
      <w:r w:rsidRPr="003170A4">
        <w:rPr>
          <w:rFonts w:asciiTheme="majorBidi" w:hAnsiTheme="majorBidi" w:cstheme="majorBidi"/>
        </w:rPr>
        <w:t>, No. CV 9320-VCL, 2016 WL 7324170, at *15 (Del. Ch. Dec. 16, 2016), judgment entered, (Del. Ch. 2016) (“it is difficult for the Chancellor and Vice Chancellors to assess wildly divergent expert opinions regarding value”).</w:t>
      </w:r>
    </w:p>
  </w:footnote>
  <w:footnote w:id="75">
    <w:p w14:paraId="64C16DEB" w14:textId="08577C7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William A. Groll &amp; David Leinwand, </w:t>
      </w:r>
      <w:r w:rsidRPr="003170A4">
        <w:rPr>
          <w:rFonts w:asciiTheme="majorBidi" w:hAnsiTheme="majorBidi" w:cstheme="majorBidi"/>
          <w:i/>
          <w:iCs/>
        </w:rPr>
        <w:t>Judge and Banker—Valuation Analyses in the Delaware Courts</w:t>
      </w:r>
      <w:r w:rsidRPr="003170A4">
        <w:rPr>
          <w:rFonts w:asciiTheme="majorBidi" w:hAnsiTheme="majorBidi" w:cstheme="majorBidi"/>
        </w:rPr>
        <w:t xml:space="preserve">, 116 </w:t>
      </w:r>
      <w:r w:rsidRPr="003170A4">
        <w:rPr>
          <w:rFonts w:asciiTheme="majorBidi" w:hAnsiTheme="majorBidi" w:cstheme="majorBidi"/>
          <w:smallCaps/>
        </w:rPr>
        <w:t xml:space="preserve">Pa. St. L. Rev. </w:t>
      </w:r>
      <w:r w:rsidRPr="003170A4">
        <w:rPr>
          <w:rFonts w:asciiTheme="majorBidi" w:hAnsiTheme="majorBidi" w:cstheme="majorBidi"/>
        </w:rPr>
        <w:t xml:space="preserve">957, 959 (2012) (“[T]he Delaware courts have become quite sophisticated in reviewing valuation analyses and are thoroughly conversant in the related, highly technical financial arcana.”); </w:t>
      </w:r>
      <w:r w:rsidRPr="003170A4">
        <w:rPr>
          <w:rFonts w:asciiTheme="majorBidi" w:hAnsiTheme="majorBidi" w:cstheme="majorBidi"/>
          <w:i/>
          <w:iCs/>
        </w:rPr>
        <w:t>Widen</w:t>
      </w:r>
      <w:r w:rsidRPr="003170A4">
        <w:rPr>
          <w:rFonts w:asciiTheme="majorBidi" w:hAnsiTheme="majorBidi" w:cstheme="majorBidi"/>
        </w:rPr>
        <w:t xml:space="preserve">, </w:t>
      </w:r>
      <w:r w:rsidRPr="003170A4">
        <w:rPr>
          <w:rFonts w:asciiTheme="majorBidi" w:hAnsiTheme="majorBidi" w:cstheme="majorBidi"/>
          <w:i/>
          <w:iCs/>
        </w:rPr>
        <w:t>supra</w:t>
      </w:r>
      <w:r w:rsidRPr="003170A4">
        <w:rPr>
          <w:rFonts w:asciiTheme="majorBidi" w:hAnsiTheme="majorBidi" w:cstheme="majorBidi"/>
        </w:rPr>
        <w:t xml:space="preserve"> note 53, at 581 (“Delaware courts have become increasingly sophisticated in their understanding of business</w:t>
      </w:r>
    </w:p>
    <w:p w14:paraId="6BA2CC3A" w14:textId="43EF87F6" w:rsidR="00B54C7C" w:rsidRPr="003170A4" w:rsidRDefault="00B54C7C" w:rsidP="007442E8">
      <w:pPr>
        <w:pStyle w:val="FootnoteText"/>
        <w:jc w:val="both"/>
        <w:rPr>
          <w:rFonts w:asciiTheme="majorBidi" w:hAnsiTheme="majorBidi" w:cstheme="majorBidi"/>
        </w:rPr>
      </w:pPr>
      <w:r w:rsidRPr="003170A4">
        <w:rPr>
          <w:rFonts w:asciiTheme="majorBidi" w:hAnsiTheme="majorBidi" w:cstheme="majorBidi"/>
        </w:rPr>
        <w:t>valuation techniques.”).</w:t>
      </w:r>
    </w:p>
  </w:footnote>
  <w:footnote w:id="76">
    <w:p w14:paraId="7EC96436" w14:textId="12729C6C" w:rsidR="00B54C7C" w:rsidRPr="003170A4" w:rsidRDefault="00B54C7C" w:rsidP="009846B7">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Andrew Baker, et al, supra not </w:t>
      </w:r>
      <w:r w:rsidRPr="003170A4">
        <w:rPr>
          <w:rFonts w:asciiTheme="majorBidi" w:hAnsiTheme="majorBidi" w:cstheme="majorBidi"/>
        </w:rPr>
        <w:fldChar w:fldCharType="begin"/>
      </w:r>
      <w:r w:rsidRPr="003170A4">
        <w:rPr>
          <w:rFonts w:asciiTheme="majorBidi" w:hAnsiTheme="majorBidi" w:cstheme="majorBidi"/>
        </w:rPr>
        <w:instrText xml:space="preserve"> NOTEREF _Ref181870665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31</w:t>
      </w:r>
      <w:r w:rsidRPr="003170A4">
        <w:rPr>
          <w:rFonts w:asciiTheme="majorBidi" w:hAnsiTheme="majorBidi" w:cstheme="majorBidi"/>
        </w:rPr>
        <w:fldChar w:fldCharType="end"/>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also</w:t>
      </w:r>
      <w:r w:rsidRPr="003170A4">
        <w:rPr>
          <w:rFonts w:asciiTheme="majorBidi" w:hAnsiTheme="majorBidi" w:cstheme="majorBidi"/>
        </w:rPr>
        <w:t xml:space="preserve"> </w:t>
      </w:r>
      <w:r w:rsidRPr="003170A4">
        <w:rPr>
          <w:rFonts w:asciiTheme="majorBidi" w:hAnsiTheme="majorBidi" w:cstheme="majorBidi"/>
          <w:i/>
          <w:iCs/>
        </w:rPr>
        <w:t xml:space="preserve">Union Illinois 1995 Inv. Ltd. </w:t>
      </w:r>
      <w:proofErr w:type="spellStart"/>
      <w:r w:rsidRPr="003170A4">
        <w:rPr>
          <w:rFonts w:asciiTheme="majorBidi" w:hAnsiTheme="majorBidi" w:cstheme="majorBidi"/>
          <w:i/>
          <w:iCs/>
        </w:rPr>
        <w:t>P'ship</w:t>
      </w:r>
      <w:proofErr w:type="spellEnd"/>
      <w:r w:rsidRPr="003170A4">
        <w:rPr>
          <w:rFonts w:asciiTheme="majorBidi" w:hAnsiTheme="majorBidi" w:cstheme="majorBidi"/>
          <w:i/>
          <w:iCs/>
        </w:rPr>
        <w:t xml:space="preserve"> v. Union Fin. Grp., Ltd.</w:t>
      </w:r>
      <w:r w:rsidRPr="003170A4">
        <w:rPr>
          <w:rFonts w:asciiTheme="majorBidi" w:hAnsiTheme="majorBidi" w:cstheme="majorBidi"/>
        </w:rPr>
        <w:t>, 847 A.2d 340, 359 (Del. Ch. 2004)</w:t>
      </w:r>
      <w:r w:rsidR="009846B7" w:rsidRPr="003170A4">
        <w:rPr>
          <w:rFonts w:asciiTheme="majorBidi" w:hAnsiTheme="majorBidi" w:cstheme="majorBidi"/>
        </w:rPr>
        <w:t xml:space="preserve"> </w:t>
      </w:r>
      <w:r w:rsidRPr="003170A4">
        <w:rPr>
          <w:rFonts w:asciiTheme="majorBidi" w:hAnsiTheme="majorBidi" w:cstheme="majorBidi"/>
        </w:rPr>
        <w:t xml:space="preserve">(“For me (as a law-trained judge) to second-guess the price that resulted from that process involves an exercise in hubris and, at best, reasoned guess-work.”); </w:t>
      </w:r>
      <w:r w:rsidRPr="003170A4">
        <w:rPr>
          <w:rFonts w:asciiTheme="majorBidi" w:hAnsiTheme="majorBidi" w:cstheme="majorBidi"/>
          <w:i/>
          <w:iCs/>
        </w:rPr>
        <w:t>see also In re Appraisal of Dole Food Co., Inc.</w:t>
      </w:r>
      <w:r w:rsidRPr="003170A4">
        <w:rPr>
          <w:rFonts w:asciiTheme="majorBidi" w:hAnsiTheme="majorBidi" w:cstheme="majorBidi"/>
        </w:rPr>
        <w:t>, 114 A.3d 541, 555 (Del. Ch. 2014) (“[T]he past and current members of this court are law-trained judges, not valuation experts.”)</w:t>
      </w:r>
    </w:p>
  </w:footnote>
  <w:footnote w:id="77">
    <w:p w14:paraId="2BB1F3DD" w14:textId="36E0BFE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also</w:t>
      </w:r>
      <w:r w:rsidRPr="003170A4">
        <w:rPr>
          <w:rFonts w:asciiTheme="majorBidi" w:hAnsiTheme="majorBidi" w:cstheme="majorBidi"/>
        </w:rPr>
        <w:t xml:space="preserve"> Paramount Commc'ns Inc. v. Time Inc., No. CIVIL ACTION 10670, 1989 WL 79880, at *13 (Del. Ch. July 14, 1989) (describing a range of $208-402 per share).; </w:t>
      </w:r>
    </w:p>
  </w:footnote>
  <w:footnote w:id="78">
    <w:p w14:paraId="369E7F6D" w14:textId="6902F45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w:t>
      </w:r>
      <w:r w:rsidRPr="003170A4">
        <w:rPr>
          <w:rFonts w:asciiTheme="majorBidi" w:hAnsiTheme="majorBidi" w:cstheme="majorBidi"/>
          <w:i/>
          <w:iCs/>
        </w:rPr>
        <w:t xml:space="preserve">In re Nine Sys. Corp. </w:t>
      </w:r>
      <w:proofErr w:type="spellStart"/>
      <w:r w:rsidRPr="003170A4">
        <w:rPr>
          <w:rFonts w:asciiTheme="majorBidi" w:hAnsiTheme="majorBidi" w:cstheme="majorBidi"/>
          <w:i/>
          <w:iCs/>
        </w:rPr>
        <w:t>S'holders</w:t>
      </w:r>
      <w:proofErr w:type="spellEnd"/>
      <w:r w:rsidRPr="003170A4">
        <w:rPr>
          <w:rFonts w:asciiTheme="majorBidi" w:hAnsiTheme="majorBidi" w:cstheme="majorBidi"/>
          <w:i/>
          <w:iCs/>
        </w:rPr>
        <w:t xml:space="preserve"> Litig.</w:t>
      </w:r>
      <w:r w:rsidRPr="003170A4">
        <w:rPr>
          <w:rFonts w:asciiTheme="majorBidi" w:hAnsiTheme="majorBidi" w:cstheme="majorBidi"/>
        </w:rPr>
        <w:t>, No. CV 3940-VCN, 2013 WL 4013306, at *5 (Del. Ch. July 31, 2013).</w:t>
      </w:r>
    </w:p>
  </w:footnote>
  <w:footnote w:id="79">
    <w:p w14:paraId="5CC43B4C" w14:textId="51E78D9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w:t>
      </w:r>
      <w:r w:rsidRPr="003170A4">
        <w:rPr>
          <w:rFonts w:asciiTheme="majorBidi" w:hAnsiTheme="majorBidi" w:cstheme="majorBidi"/>
          <w:i/>
          <w:iCs/>
        </w:rPr>
        <w:t xml:space="preserve">In re Sears Hometown &amp; Outlet Stores, Inc. </w:t>
      </w:r>
      <w:proofErr w:type="spellStart"/>
      <w:r w:rsidRPr="003170A4">
        <w:rPr>
          <w:rFonts w:asciiTheme="majorBidi" w:hAnsiTheme="majorBidi" w:cstheme="majorBidi"/>
          <w:i/>
          <w:iCs/>
        </w:rPr>
        <w:t>S'holder</w:t>
      </w:r>
      <w:proofErr w:type="spellEnd"/>
      <w:r w:rsidRPr="003170A4">
        <w:rPr>
          <w:rFonts w:asciiTheme="majorBidi" w:hAnsiTheme="majorBidi" w:cstheme="majorBidi"/>
          <w:i/>
          <w:iCs/>
        </w:rPr>
        <w:t xml:space="preserve"> Litig.</w:t>
      </w:r>
      <w:r w:rsidRPr="003170A4">
        <w:rPr>
          <w:rFonts w:asciiTheme="majorBidi" w:hAnsiTheme="majorBidi" w:cstheme="majorBidi"/>
        </w:rPr>
        <w:t xml:space="preserve">, 309 A.3d 474 (Del. Ch. 2024); </w:t>
      </w:r>
      <w:r w:rsidRPr="003170A4">
        <w:rPr>
          <w:rFonts w:asciiTheme="majorBidi" w:hAnsiTheme="majorBidi" w:cstheme="majorBidi"/>
          <w:i/>
          <w:iCs/>
        </w:rPr>
        <w:t xml:space="preserve">In re Trados Inc. </w:t>
      </w:r>
      <w:proofErr w:type="spellStart"/>
      <w:r w:rsidRPr="003170A4">
        <w:rPr>
          <w:rFonts w:asciiTheme="majorBidi" w:hAnsiTheme="majorBidi" w:cstheme="majorBidi"/>
          <w:i/>
          <w:iCs/>
        </w:rPr>
        <w:t>S'holder</w:t>
      </w:r>
      <w:proofErr w:type="spellEnd"/>
      <w:r w:rsidRPr="003170A4">
        <w:rPr>
          <w:rFonts w:asciiTheme="majorBidi" w:hAnsiTheme="majorBidi" w:cstheme="majorBidi"/>
          <w:i/>
          <w:iCs/>
        </w:rPr>
        <w:t xml:space="preserve"> Litig.</w:t>
      </w:r>
      <w:r w:rsidRPr="003170A4">
        <w:rPr>
          <w:rFonts w:asciiTheme="majorBidi" w:hAnsiTheme="majorBidi" w:cstheme="majorBidi"/>
        </w:rPr>
        <w:t xml:space="preserve">, 73 A.3d 17 (Del. Ch. 2013); </w:t>
      </w:r>
      <w:r w:rsidRPr="003170A4">
        <w:rPr>
          <w:rFonts w:asciiTheme="majorBidi" w:hAnsiTheme="majorBidi" w:cstheme="majorBidi"/>
          <w:i/>
          <w:iCs/>
        </w:rPr>
        <w:t>see also</w:t>
      </w:r>
      <w:r w:rsidRPr="003170A4">
        <w:rPr>
          <w:rFonts w:asciiTheme="majorBidi" w:hAnsiTheme="majorBidi" w:cstheme="majorBidi"/>
        </w:rPr>
        <w:t xml:space="preserve"> Timothy A. </w:t>
      </w:r>
      <w:proofErr w:type="spellStart"/>
      <w:r w:rsidRPr="003170A4">
        <w:rPr>
          <w:rFonts w:asciiTheme="majorBidi" w:hAnsiTheme="majorBidi" w:cstheme="majorBidi"/>
        </w:rPr>
        <w:t>Luehrman</w:t>
      </w:r>
      <w:proofErr w:type="spellEnd"/>
      <w:r w:rsidRPr="003170A4">
        <w:rPr>
          <w:rFonts w:asciiTheme="majorBidi" w:hAnsiTheme="majorBidi" w:cstheme="majorBidi"/>
        </w:rPr>
        <w:t xml:space="preserve">, </w:t>
      </w:r>
      <w:r w:rsidRPr="003170A4">
        <w:rPr>
          <w:rFonts w:asciiTheme="majorBidi" w:hAnsiTheme="majorBidi" w:cstheme="majorBidi"/>
          <w:i/>
          <w:iCs/>
        </w:rPr>
        <w:t xml:space="preserve">What’s It </w:t>
      </w:r>
      <w:proofErr w:type="gramStart"/>
      <w:r w:rsidRPr="003170A4">
        <w:rPr>
          <w:rFonts w:asciiTheme="majorBidi" w:hAnsiTheme="majorBidi" w:cstheme="majorBidi"/>
          <w:i/>
          <w:iCs/>
        </w:rPr>
        <w:t>Worth?:</w:t>
      </w:r>
      <w:proofErr w:type="gramEnd"/>
      <w:r w:rsidRPr="003170A4">
        <w:rPr>
          <w:rFonts w:asciiTheme="majorBidi" w:hAnsiTheme="majorBidi" w:cstheme="majorBidi"/>
          <w:i/>
          <w:iCs/>
        </w:rPr>
        <w:t xml:space="preserve"> A General Manager’s Guide to Valuation</w:t>
      </w:r>
      <w:r w:rsidRPr="003170A4">
        <w:rPr>
          <w:rFonts w:asciiTheme="majorBidi" w:hAnsiTheme="majorBidi" w:cstheme="majorBidi"/>
        </w:rPr>
        <w:t xml:space="preserve">, </w:t>
      </w:r>
      <w:r w:rsidRPr="003170A4">
        <w:rPr>
          <w:rFonts w:asciiTheme="majorBidi" w:hAnsiTheme="majorBidi" w:cstheme="majorBidi"/>
          <w:smallCaps/>
        </w:rPr>
        <w:t>Harv. Bus. Rev.</w:t>
      </w:r>
      <w:r w:rsidRPr="003170A4">
        <w:rPr>
          <w:rFonts w:asciiTheme="majorBidi" w:hAnsiTheme="majorBidi" w:cstheme="majorBidi"/>
        </w:rPr>
        <w:t xml:space="preserve"> (May–June 1997),  </w:t>
      </w:r>
      <w:hyperlink r:id="rId7" w:history="1">
        <w:r w:rsidRPr="003170A4">
          <w:rPr>
            <w:rStyle w:val="Hyperlink"/>
            <w:rFonts w:asciiTheme="majorBidi" w:hAnsiTheme="majorBidi" w:cstheme="majorBidi"/>
            <w:color w:val="auto"/>
            <w:u w:val="none"/>
          </w:rPr>
          <w:t>https://hbr.org/1997/05/whats-it-worth-a-general-managersguide-to-valuation</w:t>
        </w:r>
      </w:hyperlink>
      <w:r w:rsidRPr="003170A4">
        <w:rPr>
          <w:rFonts w:asciiTheme="majorBidi" w:hAnsiTheme="majorBidi" w:cstheme="majorBidi"/>
        </w:rPr>
        <w:t xml:space="preserve"> [https://perma.cc/7Q3N-97BH] (recounting the development of the DCF model “as best practice for valuing corporate assets” and discussing the different ways companies use the model).</w:t>
      </w:r>
    </w:p>
  </w:footnote>
  <w:footnote w:id="80">
    <w:p w14:paraId="14175675" w14:textId="3B2F8FB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hyperlink r:id="rId8" w:history="1">
        <w:r w:rsidRPr="003170A4">
          <w:rPr>
            <w:rStyle w:val="Hyperlink"/>
            <w:rFonts w:asciiTheme="majorBidi" w:hAnsiTheme="majorBidi" w:cstheme="majorBidi"/>
            <w:i/>
            <w:iCs/>
            <w:color w:val="auto"/>
            <w:u w:val="none"/>
          </w:rPr>
          <w:t>See</w:t>
        </w:r>
      </w:hyperlink>
      <w:r w:rsidRPr="003170A4">
        <w:rPr>
          <w:rFonts w:asciiTheme="majorBidi" w:hAnsiTheme="majorBidi" w:cstheme="majorBidi"/>
          <w:i/>
          <w:iCs/>
        </w:rPr>
        <w:t xml:space="preserve"> In re Trados</w:t>
      </w:r>
      <w:r w:rsidRPr="003170A4">
        <w:rPr>
          <w:rFonts w:asciiTheme="majorBidi" w:hAnsiTheme="majorBidi" w:cstheme="majorBidi"/>
        </w:rPr>
        <w:t xml:space="preserve">, 73 A.3d 17 at *71; see also </w:t>
      </w:r>
      <w:proofErr w:type="spellStart"/>
      <w:r w:rsidRPr="003170A4">
        <w:rPr>
          <w:rFonts w:asciiTheme="majorBidi" w:hAnsiTheme="majorBidi" w:cstheme="majorBidi"/>
        </w:rPr>
        <w:t>LongPath</w:t>
      </w:r>
      <w:proofErr w:type="spellEnd"/>
      <w:r w:rsidRPr="003170A4">
        <w:rPr>
          <w:rFonts w:asciiTheme="majorBidi" w:hAnsiTheme="majorBidi" w:cstheme="majorBidi"/>
        </w:rPr>
        <w:t xml:space="preserve"> Capital, LLC v. </w:t>
      </w:r>
      <w:proofErr w:type="spellStart"/>
      <w:r w:rsidRPr="003170A4">
        <w:rPr>
          <w:rFonts w:asciiTheme="majorBidi" w:hAnsiTheme="majorBidi" w:cstheme="majorBidi"/>
        </w:rPr>
        <w:t>Ramtron</w:t>
      </w:r>
      <w:proofErr w:type="spellEnd"/>
      <w:r w:rsidRPr="003170A4">
        <w:rPr>
          <w:rFonts w:asciiTheme="majorBidi" w:hAnsiTheme="majorBidi" w:cstheme="majorBidi"/>
        </w:rPr>
        <w:t xml:space="preserve"> Int’l Corp., No. CV 8094-VCP, 2015 WL 4540443, at *9 (Del. Ch. June 30, 2015) (“Much has been said on litigation-driven valuations, none of it favorable.”).</w:t>
      </w:r>
    </w:p>
  </w:footnote>
  <w:footnote w:id="81">
    <w:p w14:paraId="2181D9C0" w14:textId="4DBA821D"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See Licht, supra note </w:t>
      </w:r>
      <w:r w:rsidRPr="003170A4">
        <w:rPr>
          <w:rFonts w:asciiTheme="majorBidi" w:hAnsiTheme="majorBidi" w:cstheme="majorBidi"/>
        </w:rPr>
        <w:fldChar w:fldCharType="begin"/>
      </w:r>
      <w:r w:rsidRPr="003170A4">
        <w:rPr>
          <w:rFonts w:asciiTheme="majorBidi" w:hAnsiTheme="majorBidi" w:cstheme="majorBidi"/>
        </w:rPr>
        <w:instrText xml:space="preserve"> NOTEREF _Ref181869476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37</w:t>
      </w:r>
      <w:r w:rsidRPr="003170A4">
        <w:rPr>
          <w:rFonts w:asciiTheme="majorBidi" w:hAnsiTheme="majorBidi" w:cstheme="majorBidi"/>
        </w:rPr>
        <w:fldChar w:fldCharType="end"/>
      </w:r>
      <w:r w:rsidRPr="003170A4">
        <w:rPr>
          <w:rFonts w:asciiTheme="majorBidi" w:hAnsiTheme="majorBidi" w:cstheme="majorBidi"/>
        </w:rPr>
        <w:t xml:space="preserve"> at 38-39 (describing the difficulties courts face in conducting valuation as part of judicial review). </w:t>
      </w:r>
    </w:p>
  </w:footnote>
  <w:footnote w:id="82">
    <w:p w14:paraId="59A642F4" w14:textId="459C355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at *56 (quoting </w:t>
      </w:r>
      <w:r w:rsidRPr="003170A4">
        <w:rPr>
          <w:rFonts w:asciiTheme="majorBidi" w:hAnsiTheme="majorBidi" w:cstheme="majorBidi"/>
          <w:i/>
          <w:iCs/>
        </w:rPr>
        <w:t>Weinberger</w:t>
      </w:r>
      <w:r w:rsidRPr="003170A4">
        <w:rPr>
          <w:rFonts w:asciiTheme="majorBidi" w:hAnsiTheme="majorBidi" w:cstheme="majorBidi"/>
        </w:rPr>
        <w:t xml:space="preserve">, 457 A.2d at 711). </w:t>
      </w:r>
    </w:p>
  </w:footnote>
  <w:footnote w:id="83">
    <w:p w14:paraId="793512BF" w14:textId="14B791C5" w:rsidR="00B54C7C" w:rsidRPr="003170A4" w:rsidRDefault="00B54C7C" w:rsidP="007442E8">
      <w:pPr>
        <w:pStyle w:val="FootnoteText"/>
        <w:jc w:val="both"/>
        <w:rPr>
          <w:rFonts w:asciiTheme="majorBidi" w:hAnsiTheme="majorBidi" w:cstheme="majorBidi"/>
          <w:shd w:val="clear" w:color="auto" w:fill="FFFFFF"/>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shd w:val="clear" w:color="auto" w:fill="FFFFFF"/>
        </w:rPr>
        <w:t>Kahn v. Tremont Corp.</w:t>
      </w:r>
      <w:r w:rsidRPr="003170A4">
        <w:rPr>
          <w:rFonts w:asciiTheme="majorBidi" w:hAnsiTheme="majorBidi" w:cstheme="majorBidi"/>
          <w:shd w:val="clear" w:color="auto" w:fill="FFFFFF"/>
        </w:rPr>
        <w:t>, 694 A.2d 422, 430 (Del. 1997).</w:t>
      </w:r>
    </w:p>
  </w:footnote>
  <w:footnote w:id="84">
    <w:p w14:paraId="37AB54F6" w14:textId="35E3D2DC" w:rsidR="00B54C7C" w:rsidRPr="003170A4" w:rsidRDefault="00B54C7C" w:rsidP="007442E8">
      <w:pPr>
        <w:pStyle w:val="FootnoteText"/>
        <w:jc w:val="both"/>
        <w:rPr>
          <w:rFonts w:asciiTheme="majorBidi" w:hAnsiTheme="majorBidi" w:cstheme="majorBidi"/>
          <w:shd w:val="clear" w:color="auto" w:fill="FFFFFF"/>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shd w:val="clear" w:color="auto" w:fill="FFFFFF"/>
        </w:rPr>
        <w:t xml:space="preserve">In re Tesla Motors, Inc. </w:t>
      </w:r>
      <w:proofErr w:type="spellStart"/>
      <w:r w:rsidRPr="003170A4">
        <w:rPr>
          <w:rFonts w:asciiTheme="majorBidi" w:hAnsiTheme="majorBidi" w:cstheme="majorBidi"/>
          <w:i/>
          <w:iCs/>
          <w:shd w:val="clear" w:color="auto" w:fill="FFFFFF"/>
        </w:rPr>
        <w:t>S'holder</w:t>
      </w:r>
      <w:proofErr w:type="spellEnd"/>
      <w:r w:rsidRPr="003170A4">
        <w:rPr>
          <w:rFonts w:asciiTheme="majorBidi" w:hAnsiTheme="majorBidi" w:cstheme="majorBidi"/>
          <w:i/>
          <w:iCs/>
          <w:shd w:val="clear" w:color="auto" w:fill="FFFFFF"/>
        </w:rPr>
        <w:t xml:space="preserve"> Litig.</w:t>
      </w:r>
      <w:r w:rsidRPr="003170A4">
        <w:rPr>
          <w:rFonts w:asciiTheme="majorBidi" w:hAnsiTheme="majorBidi" w:cstheme="majorBidi"/>
          <w:shd w:val="clear" w:color="auto" w:fill="FFFFFF"/>
        </w:rPr>
        <w:t>, 298 A.3d 667, 700 (Del. 2023)</w:t>
      </w:r>
    </w:p>
  </w:footnote>
  <w:footnote w:id="85">
    <w:p w14:paraId="6393A7D2" w14:textId="0AAD3F8D"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Regarding Musk’s compensation, the transaction was initiated by the board who sought to retain Musk through a difficult period. </w:t>
      </w:r>
      <w:r w:rsidRPr="003170A4">
        <w:rPr>
          <w:rFonts w:asciiTheme="majorBidi" w:hAnsiTheme="majorBidi" w:cstheme="majorBidi"/>
          <w:i/>
          <w:iCs/>
        </w:rPr>
        <w:t xml:space="preserve">Tornetta, </w:t>
      </w:r>
      <w:r w:rsidRPr="003170A4">
        <w:rPr>
          <w:rFonts w:asciiTheme="majorBidi" w:hAnsiTheme="majorBidi" w:cstheme="majorBidi"/>
        </w:rPr>
        <w:t>310 A.3d at 460-61.</w:t>
      </w:r>
    </w:p>
  </w:footnote>
  <w:footnote w:id="86">
    <w:p w14:paraId="1B9A476C" w14:textId="14E8526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supra</w:t>
      </w:r>
      <w:r w:rsidRPr="003170A4">
        <w:rPr>
          <w:rFonts w:asciiTheme="majorBidi" w:hAnsiTheme="majorBidi" w:cstheme="majorBidi"/>
        </w:rPr>
        <w:t xml:space="preserve"> note 35; Jeffrey Chapman &amp; Benjamin W. James, </w:t>
      </w:r>
      <w:r w:rsidRPr="003170A4">
        <w:rPr>
          <w:rFonts w:asciiTheme="majorBidi" w:hAnsiTheme="majorBidi" w:cstheme="majorBidi"/>
          <w:i/>
          <w:iCs/>
        </w:rPr>
        <w:t>The Use of Special Committees in Mergers and Acquisitions</w:t>
      </w:r>
      <w:r w:rsidRPr="003170A4">
        <w:rPr>
          <w:rFonts w:asciiTheme="majorBidi" w:hAnsiTheme="majorBidi" w:cstheme="majorBidi"/>
        </w:rPr>
        <w:t xml:space="preserve">, 42 Tex. J. Bus. L. 315 (2008); </w:t>
      </w:r>
      <w:r w:rsidRPr="003170A4">
        <w:rPr>
          <w:rFonts w:asciiTheme="majorBidi" w:hAnsiTheme="majorBidi" w:cstheme="majorBidi"/>
          <w:i/>
          <w:iCs/>
        </w:rPr>
        <w:t xml:space="preserve">see also </w:t>
      </w:r>
      <w:r w:rsidRPr="003170A4">
        <w:rPr>
          <w:rFonts w:asciiTheme="majorBidi" w:hAnsiTheme="majorBidi" w:cstheme="majorBidi"/>
        </w:rPr>
        <w:t xml:space="preserve">David A. Lax &amp; James K. Sebenius, </w:t>
      </w:r>
      <w:r w:rsidRPr="003170A4">
        <w:rPr>
          <w:rFonts w:asciiTheme="majorBidi" w:hAnsiTheme="majorBidi" w:cstheme="majorBidi"/>
          <w:i/>
          <w:iCs/>
        </w:rPr>
        <w:t>Negotiating Through an Agent</w:t>
      </w:r>
      <w:r w:rsidRPr="003170A4">
        <w:rPr>
          <w:rFonts w:asciiTheme="majorBidi" w:hAnsiTheme="majorBidi" w:cstheme="majorBidi"/>
        </w:rPr>
        <w:t xml:space="preserve">, 35 J. of Conf. Res. 474 (1991). </w:t>
      </w:r>
    </w:p>
  </w:footnote>
  <w:footnote w:id="87">
    <w:p w14:paraId="2F733659" w14:textId="46BE8D2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For example, in </w:t>
      </w:r>
      <w:r w:rsidRPr="003170A4">
        <w:rPr>
          <w:rFonts w:asciiTheme="majorBidi" w:hAnsiTheme="majorBidi" w:cstheme="majorBidi"/>
          <w:i/>
          <w:iCs/>
        </w:rPr>
        <w:t>Southern Peru</w:t>
      </w:r>
      <w:r w:rsidRPr="003170A4">
        <w:rPr>
          <w:rFonts w:asciiTheme="majorBidi" w:hAnsiTheme="majorBidi" w:cstheme="majorBidi"/>
        </w:rPr>
        <w:t xml:space="preserve">, the Chancery court examined the valuation methodologies used by the special committee, as well as its financial advisor to determine, that the </w:t>
      </w:r>
      <w:r w:rsidRPr="003170A4">
        <w:rPr>
          <w:rFonts w:asciiTheme="majorBidi" w:hAnsiTheme="majorBidi" w:cstheme="majorBidi"/>
          <w:i/>
          <w:iCs/>
        </w:rPr>
        <w:t>process</w:t>
      </w:r>
      <w:r w:rsidRPr="003170A4">
        <w:rPr>
          <w:rFonts w:asciiTheme="majorBidi" w:hAnsiTheme="majorBidi" w:cstheme="majorBidi"/>
        </w:rPr>
        <w:t xml:space="preserve"> was unfair. </w:t>
      </w:r>
      <w:r w:rsidRPr="003170A4">
        <w:rPr>
          <w:rFonts w:asciiTheme="majorBidi" w:hAnsiTheme="majorBidi" w:cstheme="majorBidi"/>
          <w:i/>
          <w:iCs/>
        </w:rPr>
        <w:t xml:space="preserve">See In re S. Peru Copper Corp. </w:t>
      </w:r>
      <w:proofErr w:type="spellStart"/>
      <w:r w:rsidRPr="003170A4">
        <w:rPr>
          <w:rFonts w:asciiTheme="majorBidi" w:hAnsiTheme="majorBidi" w:cstheme="majorBidi"/>
          <w:i/>
          <w:iCs/>
        </w:rPr>
        <w:t>S'holder</w:t>
      </w:r>
      <w:proofErr w:type="spellEnd"/>
      <w:r w:rsidRPr="003170A4">
        <w:rPr>
          <w:rFonts w:asciiTheme="majorBidi" w:hAnsiTheme="majorBidi" w:cstheme="majorBidi"/>
          <w:i/>
          <w:iCs/>
        </w:rPr>
        <w:t xml:space="preserve"> Derivative Litig., </w:t>
      </w:r>
      <w:r w:rsidRPr="003170A4">
        <w:rPr>
          <w:rFonts w:asciiTheme="majorBidi" w:hAnsiTheme="majorBidi" w:cstheme="majorBidi"/>
        </w:rPr>
        <w:t xml:space="preserve">52 A.3d 761, 791 (Del. Ch. 2011), aff'd sub nom. </w:t>
      </w:r>
      <w:r w:rsidRPr="003170A4">
        <w:rPr>
          <w:rFonts w:asciiTheme="majorBidi" w:hAnsiTheme="majorBidi" w:cstheme="majorBidi"/>
          <w:i/>
          <w:iCs/>
        </w:rPr>
        <w:t>Americas Mining Corp. v. Theriault</w:t>
      </w:r>
      <w:r w:rsidRPr="003170A4">
        <w:rPr>
          <w:rFonts w:asciiTheme="majorBidi" w:hAnsiTheme="majorBidi" w:cstheme="majorBidi"/>
        </w:rPr>
        <w:t>, 51 A.3d 1213 (Del. 2012) (“The actions of the Special Committee and Goldman undermine the defendants' argument that the process leading up to the Merger was fair and lend credence to the plaintiff's contention that the process leading up to the Merger was an exercise in rationalization”).</w:t>
      </w:r>
    </w:p>
  </w:footnote>
  <w:footnote w:id="88">
    <w:p w14:paraId="27900078" w14:textId="5B16C71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C</w:t>
      </w:r>
      <w:r w:rsidRPr="003170A4">
        <w:rPr>
          <w:rFonts w:asciiTheme="majorBidi" w:hAnsiTheme="majorBidi" w:cstheme="majorBidi"/>
          <w:lang w:bidi="he-IL"/>
        </w:rPr>
        <w:t xml:space="preserve">ourts have encouraged the use of these cleansing mechanisms in part because of the belief that when disinterested parties have signed off on a transaction, it makes little sense to subject it to judicial valuation.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In re MFW</w:t>
      </w:r>
      <w:r w:rsidRPr="003170A4">
        <w:rPr>
          <w:rFonts w:asciiTheme="majorBidi" w:hAnsiTheme="majorBidi" w:cstheme="majorBidi"/>
        </w:rPr>
        <w:t xml:space="preserve">, 67 A.3d at 533-534 (discussing how the </w:t>
      </w:r>
      <w:r w:rsidRPr="003170A4">
        <w:rPr>
          <w:rFonts w:asciiTheme="majorBidi" w:hAnsiTheme="majorBidi" w:cstheme="majorBidi"/>
          <w:i/>
          <w:iCs/>
        </w:rPr>
        <w:t>MFW</w:t>
      </w:r>
      <w:r w:rsidRPr="003170A4">
        <w:rPr>
          <w:rFonts w:asciiTheme="majorBidi" w:hAnsiTheme="majorBidi" w:cstheme="majorBidi"/>
        </w:rPr>
        <w:t xml:space="preserve"> procedures have the benefit of insulating the transaction from litigation when the disinterested shareholders have embraced it after disinterested director negotiation). </w:t>
      </w:r>
    </w:p>
  </w:footnote>
  <w:footnote w:id="89">
    <w:p w14:paraId="32BD2040" w14:textId="5417773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Kahn v. Lynch</w:t>
      </w:r>
      <w:r w:rsidRPr="003170A4">
        <w:rPr>
          <w:rFonts w:asciiTheme="majorBidi" w:hAnsiTheme="majorBidi" w:cstheme="majorBidi"/>
        </w:rPr>
        <w:t xml:space="preserve">, 638 A.2d at 1117 (“[A]n approval of the transaction by an independent committee of directors or an informed majority of minority shareholders shifts the burden of proof on the issue of fairness from the controlling or dominating shareholder to the challenging shareholder plaintiff.”). </w:t>
      </w:r>
      <w:r w:rsidRPr="003170A4">
        <w:rPr>
          <w:rFonts w:asciiTheme="majorBidi" w:hAnsiTheme="majorBidi" w:cstheme="majorBidi"/>
          <w:i/>
          <w:iCs/>
        </w:rPr>
        <w:t>See also</w:t>
      </w:r>
      <w:r w:rsidRPr="003170A4">
        <w:rPr>
          <w:rFonts w:asciiTheme="majorBidi" w:hAnsiTheme="majorBidi" w:cstheme="majorBidi"/>
        </w:rPr>
        <w:t xml:space="preserve"> </w:t>
      </w:r>
      <w:r w:rsidRPr="003170A4">
        <w:rPr>
          <w:rFonts w:asciiTheme="majorBidi" w:hAnsiTheme="majorBidi" w:cstheme="majorBidi"/>
          <w:i/>
          <w:iCs/>
          <w:shd w:val="clear" w:color="auto" w:fill="FFFFFF"/>
        </w:rPr>
        <w:t>Kahn v. Tremont</w:t>
      </w:r>
      <w:r w:rsidRPr="003170A4">
        <w:rPr>
          <w:rFonts w:asciiTheme="majorBidi" w:hAnsiTheme="majorBidi" w:cstheme="majorBidi"/>
          <w:shd w:val="clear" w:color="auto" w:fill="FFFFFF"/>
        </w:rPr>
        <w:t xml:space="preserve">, 694 A.2d </w:t>
      </w:r>
      <w:r w:rsidRPr="003170A4">
        <w:rPr>
          <w:rFonts w:asciiTheme="majorBidi" w:hAnsiTheme="majorBidi" w:cstheme="majorBidi"/>
        </w:rPr>
        <w:t xml:space="preserve">(applying the burden shift evaluation to a non-squeeze-out transaction). </w:t>
      </w:r>
    </w:p>
  </w:footnote>
  <w:footnote w:id="90">
    <w:p w14:paraId="45C287BB" w14:textId="5A66F90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Kahn v. Lynch</w:t>
      </w:r>
      <w:r w:rsidRPr="003170A4">
        <w:rPr>
          <w:rFonts w:asciiTheme="majorBidi" w:hAnsiTheme="majorBidi" w:cstheme="majorBidi"/>
        </w:rPr>
        <w:t xml:space="preserve">, 638 A.2d at 1117. </w:t>
      </w:r>
    </w:p>
  </w:footnote>
  <w:footnote w:id="91">
    <w:p w14:paraId="15667051" w14:textId="2FE6F4C1"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In re MFW</w:t>
      </w:r>
      <w:r w:rsidRPr="003170A4">
        <w:rPr>
          <w:rFonts w:asciiTheme="majorBidi" w:hAnsiTheme="majorBidi" w:cstheme="majorBidi"/>
        </w:rPr>
        <w:t>, 67 A.3d at 500.</w:t>
      </w:r>
    </w:p>
  </w:footnote>
  <w:footnote w:id="92">
    <w:p w14:paraId="5ED3F021" w14:textId="076F65F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93">
    <w:p w14:paraId="0D6E926F" w14:textId="5B11A68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In re Walt Disney Co. Derivative Litig.</w:t>
      </w:r>
      <w:r w:rsidRPr="003170A4">
        <w:rPr>
          <w:rFonts w:asciiTheme="majorBidi" w:hAnsiTheme="majorBidi" w:cstheme="majorBidi"/>
        </w:rPr>
        <w:t xml:space="preserve">, 906 A.2d 27, 74 (Del. 2006) (explaining that “where the business judgment presumptions are applicable, the board’s decision will be upheld unless it cannot be attributed to any rational business purpose”). </w:t>
      </w:r>
    </w:p>
  </w:footnote>
  <w:footnote w:id="94">
    <w:p w14:paraId="06462247" w14:textId="2AAF334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w:t>
      </w:r>
      <w:r w:rsidRPr="003170A4">
        <w:rPr>
          <w:rFonts w:asciiTheme="majorBidi" w:hAnsiTheme="majorBidi" w:cstheme="majorBidi"/>
          <w:i/>
          <w:iCs/>
        </w:rPr>
        <w:t xml:space="preserve"> In re MFW</w:t>
      </w:r>
      <w:r w:rsidRPr="003170A4">
        <w:rPr>
          <w:rFonts w:asciiTheme="majorBidi" w:hAnsiTheme="majorBidi" w:cstheme="majorBidi"/>
        </w:rPr>
        <w:t xml:space="preserve">, 67 A.3d. More recently, in 2024, the Delaware Supreme Court clarified that the </w:t>
      </w:r>
      <w:r w:rsidRPr="003170A4">
        <w:rPr>
          <w:rFonts w:asciiTheme="majorBidi" w:hAnsiTheme="majorBidi" w:cstheme="majorBidi"/>
          <w:i/>
          <w:iCs/>
        </w:rPr>
        <w:t>MFW</w:t>
      </w:r>
      <w:r w:rsidRPr="003170A4">
        <w:rPr>
          <w:rFonts w:asciiTheme="majorBidi" w:hAnsiTheme="majorBidi" w:cstheme="majorBidi"/>
        </w:rPr>
        <w:t xml:space="preserve"> framework applied to all conflicted controller transactions—not just squeeze-outs. </w:t>
      </w:r>
      <w:r w:rsidRPr="003170A4">
        <w:rPr>
          <w:rFonts w:asciiTheme="majorBidi" w:hAnsiTheme="majorBidi" w:cstheme="majorBidi"/>
          <w:i/>
          <w:iCs/>
        </w:rPr>
        <w:t>In re Match</w:t>
      </w:r>
      <w:r w:rsidRPr="003170A4">
        <w:rPr>
          <w:rFonts w:asciiTheme="majorBidi" w:hAnsiTheme="majorBidi" w:cstheme="majorBidi"/>
        </w:rPr>
        <w:t xml:space="preserve">, 315 A.3d at 463. </w:t>
      </w:r>
    </w:p>
  </w:footnote>
  <w:footnote w:id="95">
    <w:p w14:paraId="0CF60E1D" w14:textId="55F8F41D"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 third alternative in which the entire fairness review applies but with a shift in the burden of proof is also possible.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Kahn v. Lynch</w:t>
      </w:r>
      <w:r w:rsidRPr="003170A4">
        <w:rPr>
          <w:rFonts w:asciiTheme="majorBidi" w:hAnsiTheme="majorBidi" w:cstheme="majorBidi"/>
        </w:rPr>
        <w:t>, 638 A.2d at 1117 (“[A]n approval of the transaction by an independent committee of directors or an informed majority of minority shareholders shifts the burden of proof on the issue of fairness from the controlling or dominating shareholder to the challenging shareholder plaintiff.”). This Article does not discuss this alternative because it does not add any insight to the analysis.</w:t>
      </w:r>
    </w:p>
  </w:footnote>
  <w:footnote w:id="96">
    <w:p w14:paraId="181F74A4" w14:textId="067EA6A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Kahn v. M &amp; F Worldwide Corp.</w:t>
      </w:r>
      <w:r w:rsidRPr="003170A4">
        <w:rPr>
          <w:rFonts w:asciiTheme="majorBidi" w:hAnsiTheme="majorBidi" w:cstheme="majorBidi"/>
        </w:rPr>
        <w:t xml:space="preserve">, 88 A.3d 635, 644 (Del. 2014) (introducing the </w:t>
      </w:r>
      <w:r w:rsidRPr="003170A4">
        <w:rPr>
          <w:rFonts w:asciiTheme="majorBidi" w:hAnsiTheme="majorBidi" w:cstheme="majorBidi"/>
          <w:i/>
          <w:iCs/>
        </w:rPr>
        <w:t>MFW</w:t>
      </w:r>
      <w:r w:rsidRPr="003170A4">
        <w:rPr>
          <w:rFonts w:asciiTheme="majorBidi" w:hAnsiTheme="majorBidi" w:cstheme="majorBidi"/>
        </w:rPr>
        <w:t xml:space="preserve"> conditions).</w:t>
      </w:r>
    </w:p>
  </w:footnote>
  <w:footnote w:id="97">
    <w:p w14:paraId="568826A8" w14:textId="12357A3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 xml:space="preserve">In re Tesla Motors, Inc. </w:t>
      </w:r>
      <w:proofErr w:type="spellStart"/>
      <w:r w:rsidRPr="003170A4">
        <w:rPr>
          <w:rFonts w:asciiTheme="majorBidi" w:hAnsiTheme="majorBidi" w:cstheme="majorBidi"/>
          <w:i/>
          <w:iCs/>
        </w:rPr>
        <w:t>S'holder</w:t>
      </w:r>
      <w:proofErr w:type="spellEnd"/>
      <w:r w:rsidRPr="003170A4">
        <w:rPr>
          <w:rFonts w:asciiTheme="majorBidi" w:hAnsiTheme="majorBidi" w:cstheme="majorBidi"/>
          <w:i/>
          <w:iCs/>
        </w:rPr>
        <w:t xml:space="preserve"> Litig.</w:t>
      </w:r>
      <w:r w:rsidRPr="003170A4">
        <w:rPr>
          <w:rFonts w:asciiTheme="majorBidi" w:hAnsiTheme="majorBidi" w:cstheme="majorBidi"/>
        </w:rPr>
        <w:t xml:space="preserve">, 2022 WL 1237185, at *32 (Del. Ch. Apr. 27, 2022), aff'd sub nom. </w:t>
      </w:r>
      <w:r w:rsidRPr="003170A4">
        <w:rPr>
          <w:rFonts w:asciiTheme="majorBidi" w:hAnsiTheme="majorBidi" w:cstheme="majorBidi"/>
          <w:i/>
          <w:iCs/>
        </w:rPr>
        <w:t xml:space="preserve">In re Tesla Motors, Inc. </w:t>
      </w:r>
      <w:proofErr w:type="spellStart"/>
      <w:r w:rsidRPr="003170A4">
        <w:rPr>
          <w:rFonts w:asciiTheme="majorBidi" w:hAnsiTheme="majorBidi" w:cstheme="majorBidi"/>
          <w:i/>
          <w:iCs/>
        </w:rPr>
        <w:t>S'holder</w:t>
      </w:r>
      <w:proofErr w:type="spellEnd"/>
      <w:r w:rsidRPr="003170A4">
        <w:rPr>
          <w:rFonts w:asciiTheme="majorBidi" w:hAnsiTheme="majorBidi" w:cstheme="majorBidi"/>
          <w:i/>
          <w:iCs/>
        </w:rPr>
        <w:t xml:space="preserve"> Litig.</w:t>
      </w:r>
      <w:r w:rsidRPr="003170A4">
        <w:rPr>
          <w:rFonts w:asciiTheme="majorBidi" w:hAnsiTheme="majorBidi" w:cstheme="majorBidi"/>
        </w:rPr>
        <w:t xml:space="preserve">, 298 A.3d 667 (Del. 2023) (“when a transaction is subject to entire fairness review, the burden of persuasion typically rests with the defendant, but the burden can shift to the stockholder challenging the transaction if the defendant show[s] that the transaction was approved either by an independent board majority (or in the alternative, a special committee of independent directors) or, assuming certain conditions, by an informed vote of the majority of the minority shareholders.”) </w:t>
      </w:r>
    </w:p>
  </w:footnote>
  <w:footnote w:id="98">
    <w:p w14:paraId="62C9B50B"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 xml:space="preserve">Flood v. </w:t>
      </w:r>
      <w:proofErr w:type="spellStart"/>
      <w:r w:rsidRPr="003170A4">
        <w:rPr>
          <w:rFonts w:asciiTheme="majorBidi" w:hAnsiTheme="majorBidi" w:cstheme="majorBidi"/>
          <w:i/>
          <w:iCs/>
        </w:rPr>
        <w:t>Synutra</w:t>
      </w:r>
      <w:proofErr w:type="spellEnd"/>
      <w:r w:rsidRPr="003170A4">
        <w:rPr>
          <w:rFonts w:asciiTheme="majorBidi" w:hAnsiTheme="majorBidi" w:cstheme="majorBidi"/>
          <w:i/>
          <w:iCs/>
        </w:rPr>
        <w:t xml:space="preserve"> Int'l, Inc., </w:t>
      </w:r>
      <w:r w:rsidRPr="003170A4">
        <w:rPr>
          <w:rFonts w:asciiTheme="majorBidi" w:hAnsiTheme="majorBidi" w:cstheme="majorBidi"/>
        </w:rPr>
        <w:t xml:space="preserve">195 A.3d 754, 756–57 (Del. 2018) (explaining that the </w:t>
      </w:r>
      <w:r w:rsidRPr="003170A4">
        <w:rPr>
          <w:rFonts w:asciiTheme="majorBidi" w:hAnsiTheme="majorBidi" w:cstheme="majorBidi"/>
          <w:i/>
          <w:iCs/>
        </w:rPr>
        <w:t>MFW</w:t>
      </w:r>
      <w:r w:rsidRPr="003170A4">
        <w:rPr>
          <w:rFonts w:asciiTheme="majorBidi" w:hAnsiTheme="majorBidi" w:cstheme="majorBidi"/>
        </w:rPr>
        <w:t xml:space="preserve"> framework requires courts to examine whether the special committee “employed qualified legal and financial advisors and indisputably engaged in a deliberative process that cannot rationally be characterized as grossly negligent.”)</w:t>
      </w:r>
    </w:p>
  </w:footnote>
  <w:footnote w:id="99">
    <w:p w14:paraId="26148C30"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i/>
          <w:iCs/>
        </w:rPr>
        <w:t xml:space="preserve">Smith v. Van </w:t>
      </w:r>
      <w:proofErr w:type="spellStart"/>
      <w:r w:rsidRPr="003170A4">
        <w:rPr>
          <w:rFonts w:asciiTheme="majorBidi" w:hAnsiTheme="majorBidi" w:cstheme="majorBidi"/>
          <w:i/>
          <w:iCs/>
        </w:rPr>
        <w:t>Gorkom</w:t>
      </w:r>
      <w:proofErr w:type="spellEnd"/>
      <w:r w:rsidRPr="003170A4">
        <w:rPr>
          <w:rFonts w:asciiTheme="majorBidi" w:hAnsiTheme="majorBidi" w:cstheme="majorBidi"/>
        </w:rPr>
        <w:t>, 488 A.2d 858, 873 (Del. 1985) (“The standard of care applicable to a director's duty of care … [is] the concept of gross negligence”).</w:t>
      </w:r>
    </w:p>
  </w:footnote>
  <w:footnote w:id="100">
    <w:p w14:paraId="2B02E700" w14:textId="353ECFE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Before </w:t>
      </w:r>
      <w:r w:rsidRPr="003170A4">
        <w:rPr>
          <w:rFonts w:asciiTheme="majorBidi" w:hAnsiTheme="majorBidi" w:cstheme="majorBidi"/>
          <w:i/>
          <w:iCs/>
        </w:rPr>
        <w:t>MFW</w:t>
      </w:r>
      <w:r w:rsidRPr="003170A4">
        <w:rPr>
          <w:rFonts w:asciiTheme="majorBidi" w:hAnsiTheme="majorBidi" w:cstheme="majorBidi"/>
        </w:rPr>
        <w:t xml:space="preserve">, courts tended to engage in fact-intensive review of the substance of the special committee process to determine whether this cleansing device merits a burden shift. </w:t>
      </w:r>
      <w:r w:rsidRPr="003170A4">
        <w:rPr>
          <w:rFonts w:asciiTheme="majorBidi" w:hAnsiTheme="majorBidi" w:cstheme="majorBidi"/>
          <w:i/>
          <w:iCs/>
        </w:rPr>
        <w:t xml:space="preserve">See, for example, In re S. Peru Copper Corp. </w:t>
      </w:r>
      <w:proofErr w:type="spellStart"/>
      <w:r w:rsidRPr="003170A4">
        <w:rPr>
          <w:rFonts w:asciiTheme="majorBidi" w:hAnsiTheme="majorBidi" w:cstheme="majorBidi"/>
          <w:i/>
          <w:iCs/>
        </w:rPr>
        <w:t>S'holder</w:t>
      </w:r>
      <w:proofErr w:type="spellEnd"/>
      <w:r w:rsidRPr="003170A4">
        <w:rPr>
          <w:rFonts w:asciiTheme="majorBidi" w:hAnsiTheme="majorBidi" w:cstheme="majorBidi"/>
          <w:i/>
          <w:iCs/>
        </w:rPr>
        <w:t xml:space="preserve"> Derivative Litig., supra </w:t>
      </w:r>
      <w:r w:rsidRPr="003170A4">
        <w:rPr>
          <w:rFonts w:asciiTheme="majorBidi" w:hAnsiTheme="majorBidi" w:cstheme="majorBidi"/>
        </w:rPr>
        <w:t xml:space="preserve">note </w:t>
      </w:r>
      <w:r w:rsidRPr="003170A4">
        <w:rPr>
          <w:rFonts w:asciiTheme="majorBidi" w:hAnsiTheme="majorBidi" w:cstheme="majorBidi"/>
        </w:rPr>
        <w:fldChar w:fldCharType="begin"/>
      </w:r>
      <w:r w:rsidRPr="003170A4">
        <w:rPr>
          <w:rFonts w:asciiTheme="majorBidi" w:hAnsiTheme="majorBidi" w:cstheme="majorBidi"/>
        </w:rPr>
        <w:instrText xml:space="preserve"> NOTEREF _Ref173219359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83</w:t>
      </w:r>
      <w:r w:rsidRPr="003170A4">
        <w:rPr>
          <w:rFonts w:asciiTheme="majorBidi" w:hAnsiTheme="majorBidi" w:cstheme="majorBidi"/>
        </w:rPr>
        <w:fldChar w:fldCharType="end"/>
      </w:r>
      <w:r w:rsidRPr="003170A4">
        <w:rPr>
          <w:rFonts w:asciiTheme="majorBidi" w:hAnsiTheme="majorBidi" w:cstheme="majorBidi"/>
        </w:rPr>
        <w:t xml:space="preserve">, at 791(“there is no way to decide whether the defendant is entitled to a burden shift without taking into consideration the substantive decisions of the special committee, a fact-intensive exercise that overlaps with the examination of fairness itself.”); </w:t>
      </w:r>
      <w:r w:rsidRPr="003170A4">
        <w:rPr>
          <w:rFonts w:asciiTheme="majorBidi" w:hAnsiTheme="majorBidi" w:cstheme="majorBidi"/>
          <w:i/>
          <w:iCs/>
        </w:rPr>
        <w:t>Clements v. Rogers,</w:t>
      </w:r>
      <w:r w:rsidRPr="003170A4">
        <w:rPr>
          <w:rFonts w:asciiTheme="majorBidi" w:hAnsiTheme="majorBidi" w:cstheme="majorBidi"/>
        </w:rPr>
        <w:t xml:space="preserve"> 790 A.2d 1222, 1242 (Del.Ch. 2001) (holding that “the effective functioning</w:t>
      </w:r>
      <w:r w:rsidRPr="003170A4">
        <w:rPr>
          <w:rFonts w:asciiTheme="majorBidi" w:hAnsiTheme="majorBidi" w:cstheme="majorBidi"/>
          <w:kern w:val="0"/>
        </w:rPr>
        <w:t xml:space="preserve"> of the Special Committee as an informed and aggressive negotiating force is of obvious importance to the public stockholders.”)</w:t>
      </w:r>
      <w:r w:rsidRPr="003170A4">
        <w:rPr>
          <w:rFonts w:asciiTheme="majorBidi" w:hAnsiTheme="majorBidi" w:cstheme="majorBidi"/>
        </w:rPr>
        <w:t xml:space="preserve">. In the </w:t>
      </w:r>
      <w:r w:rsidRPr="003170A4">
        <w:rPr>
          <w:rFonts w:asciiTheme="majorBidi" w:hAnsiTheme="majorBidi" w:cstheme="majorBidi"/>
          <w:i/>
          <w:iCs/>
        </w:rPr>
        <w:t>MFW</w:t>
      </w:r>
      <w:r w:rsidRPr="003170A4">
        <w:rPr>
          <w:rFonts w:asciiTheme="majorBidi" w:hAnsiTheme="majorBidi" w:cstheme="majorBidi"/>
        </w:rPr>
        <w:t xml:space="preserve"> decision, Delaware essentially modified this requirement to make it easier for courts to apply the business judgment rule at a preliminary stage, without the need to conduct a trial. </w:t>
      </w:r>
      <w:r w:rsidRPr="003170A4">
        <w:rPr>
          <w:rFonts w:asciiTheme="majorBidi" w:hAnsiTheme="majorBidi" w:cstheme="majorBidi"/>
          <w:i/>
          <w:iCs/>
        </w:rPr>
        <w:t>See In re MFW</w:t>
      </w:r>
      <w:r w:rsidRPr="003170A4">
        <w:rPr>
          <w:rFonts w:asciiTheme="majorBidi" w:hAnsiTheme="majorBidi" w:cstheme="majorBidi"/>
        </w:rPr>
        <w:t>, 67 A.3d 518, 530 (“[A]</w:t>
      </w:r>
      <w:proofErr w:type="spellStart"/>
      <w:r w:rsidRPr="003170A4">
        <w:rPr>
          <w:rFonts w:asciiTheme="majorBidi" w:hAnsiTheme="majorBidi" w:cstheme="majorBidi"/>
        </w:rPr>
        <w:t>lthough</w:t>
      </w:r>
      <w:proofErr w:type="spellEnd"/>
      <w:r w:rsidRPr="003170A4">
        <w:rPr>
          <w:rFonts w:asciiTheme="majorBidi" w:hAnsiTheme="majorBidi" w:cstheme="majorBidi"/>
        </w:rPr>
        <w:t xml:space="preserve"> prior cases can potentially be read as requiring an assessment of whether a special committee was effective in the sense of being substantively good at its appointed task,</w:t>
      </w:r>
      <w:r w:rsidRPr="003170A4">
        <w:rPr>
          <w:rFonts w:asciiTheme="majorBidi" w:hAnsiTheme="majorBidi" w:cstheme="majorBidi"/>
          <w:b/>
          <w:bCs/>
        </w:rPr>
        <w:t xml:space="preserve"> </w:t>
      </w:r>
      <w:r w:rsidRPr="003170A4">
        <w:rPr>
          <w:rFonts w:asciiTheme="majorBidi" w:hAnsiTheme="majorBidi" w:cstheme="majorBidi"/>
        </w:rPr>
        <w:t>such a precondition is fundamentally inconsistent with the application of the business judgment rule standard of review.”)</w:t>
      </w:r>
    </w:p>
  </w:footnote>
  <w:footnote w:id="101">
    <w:p w14:paraId="7EA36730" w14:textId="4AB9EE4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 xml:space="preserve">supra </w:t>
      </w:r>
      <w:r w:rsidRPr="003170A4">
        <w:rPr>
          <w:rFonts w:asciiTheme="majorBidi" w:hAnsiTheme="majorBidi" w:cstheme="majorBidi"/>
        </w:rPr>
        <w:t>note 38.</w:t>
      </w:r>
    </w:p>
  </w:footnote>
  <w:footnote w:id="102">
    <w:p w14:paraId="1EAA9D38" w14:textId="4CE2906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See, e.g., Edward B. Micheletti, </w:t>
      </w:r>
      <w:r w:rsidRPr="003170A4">
        <w:rPr>
          <w:rFonts w:asciiTheme="majorBidi" w:hAnsiTheme="majorBidi" w:cstheme="majorBidi"/>
          <w:i/>
          <w:iCs/>
        </w:rPr>
        <w:t>Corwin, MFW, and Beyond: Developing Trends in Delaware Disclosure Law</w:t>
      </w:r>
      <w:r w:rsidRPr="003170A4">
        <w:rPr>
          <w:rFonts w:asciiTheme="majorBidi" w:hAnsiTheme="majorBidi" w:cstheme="majorBidi"/>
        </w:rPr>
        <w:t>, Skadden Insight (Nov. 19, 2019), https://www.skadden.com/insights/publications/2019/11/insights-the-delaware-edition/corwin-mfw-and-beyond</w:t>
      </w:r>
      <w:r w:rsidRPr="003170A4">
        <w:rPr>
          <w:rFonts w:asciiTheme="majorBidi" w:hAnsiTheme="majorBidi" w:cstheme="majorBidi"/>
          <w:i/>
          <w:iCs/>
        </w:rPr>
        <w:t xml:space="preserve"> </w:t>
      </w:r>
      <w:r w:rsidRPr="003170A4">
        <w:rPr>
          <w:rFonts w:asciiTheme="majorBidi" w:hAnsiTheme="majorBidi" w:cstheme="majorBidi"/>
        </w:rPr>
        <w:t>(“[The] Court of Chancery continues to opine on stockholder plaintiffs’ long-favored disclosure topics … but now does so through the lens … </w:t>
      </w:r>
      <w:r w:rsidRPr="003170A4">
        <w:rPr>
          <w:rFonts w:asciiTheme="majorBidi" w:hAnsiTheme="majorBidi" w:cstheme="majorBidi"/>
          <w:i/>
          <w:iCs/>
        </w:rPr>
        <w:t>MFW</w:t>
      </w:r>
      <w:r w:rsidRPr="003170A4">
        <w:rPr>
          <w:rFonts w:asciiTheme="majorBidi" w:hAnsiTheme="majorBidi" w:cstheme="majorBidi"/>
        </w:rPr>
        <w:t>….”).</w:t>
      </w:r>
    </w:p>
  </w:footnote>
  <w:footnote w:id="103">
    <w:p w14:paraId="1F5DB80E"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 e.g.,</w:t>
      </w:r>
      <w:r w:rsidRPr="003170A4">
        <w:rPr>
          <w:rFonts w:asciiTheme="majorBidi" w:hAnsiTheme="majorBidi" w:cstheme="majorBidi"/>
        </w:rPr>
        <w:t xml:space="preserve"> Tornetta Pl.’s Post-Trial Opening Br. at 68–81 (arguing that Tesla failed to disclose that members of the compensation committee were conflicted, as well as process flaws, in the proxy statement). </w:t>
      </w:r>
    </w:p>
  </w:footnote>
  <w:footnote w:id="104">
    <w:p w14:paraId="036E8E9B" w14:textId="656DBD0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 e.g.,</w:t>
      </w:r>
      <w:r w:rsidRPr="003170A4">
        <w:rPr>
          <w:rFonts w:asciiTheme="majorBidi" w:hAnsiTheme="majorBidi" w:cstheme="majorBidi"/>
        </w:rPr>
        <w:t xml:space="preserve"> </w:t>
      </w:r>
      <w:r w:rsidRPr="003170A4">
        <w:rPr>
          <w:rFonts w:asciiTheme="majorBidi" w:hAnsiTheme="majorBidi" w:cstheme="majorBidi"/>
          <w:i/>
          <w:iCs/>
        </w:rPr>
        <w:t xml:space="preserve">City of Sarasota Firefighters' Pension Fund v. </w:t>
      </w:r>
      <w:proofErr w:type="spellStart"/>
      <w:r w:rsidRPr="003170A4">
        <w:rPr>
          <w:rFonts w:asciiTheme="majorBidi" w:hAnsiTheme="majorBidi" w:cstheme="majorBidi"/>
          <w:i/>
          <w:iCs/>
        </w:rPr>
        <w:t>Inovalon</w:t>
      </w:r>
      <w:proofErr w:type="spellEnd"/>
      <w:r w:rsidRPr="003170A4">
        <w:rPr>
          <w:rFonts w:asciiTheme="majorBidi" w:hAnsiTheme="majorBidi" w:cstheme="majorBidi"/>
          <w:i/>
          <w:iCs/>
        </w:rPr>
        <w:t xml:space="preserve"> Holdings, Inc</w:t>
      </w:r>
      <w:r w:rsidRPr="003170A4">
        <w:rPr>
          <w:rFonts w:asciiTheme="majorBidi" w:hAnsiTheme="majorBidi" w:cstheme="majorBidi"/>
        </w:rPr>
        <w:t>., No. 305, 2023, 2024 WL 1896096 (Del. May 1, 2024).</w:t>
      </w:r>
    </w:p>
  </w:footnote>
  <w:footnote w:id="105">
    <w:p w14:paraId="026B7581" w14:textId="0707BECF" w:rsidR="00B54C7C" w:rsidRPr="003170A4" w:rsidRDefault="00B54C7C" w:rsidP="007442E8">
      <w:pPr>
        <w:pStyle w:val="FootnoteText"/>
        <w:jc w:val="both"/>
        <w:rPr>
          <w:rFonts w:asciiTheme="majorBidi" w:hAnsiTheme="majorBidi" w:cstheme="majorBidi"/>
          <w:lang w:bidi="he-IL"/>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note 9</w:t>
      </w:r>
      <w:r w:rsidR="008F15B5" w:rsidRPr="003170A4">
        <w:rPr>
          <w:rFonts w:asciiTheme="majorBidi" w:hAnsiTheme="majorBidi" w:cstheme="majorBidi"/>
        </w:rPr>
        <w:t xml:space="preserve">6 </w:t>
      </w:r>
      <w:r w:rsidRPr="003170A4">
        <w:rPr>
          <w:rFonts w:asciiTheme="majorBidi" w:hAnsiTheme="majorBidi" w:cstheme="majorBidi"/>
        </w:rPr>
        <w:t xml:space="preserve">supra. </w:t>
      </w:r>
    </w:p>
  </w:footnote>
  <w:footnote w:id="106">
    <w:p w14:paraId="5A5B501A" w14:textId="17C89BD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City of Sarasota Firefighters' Pension Fund v. </w:t>
      </w:r>
      <w:proofErr w:type="spellStart"/>
      <w:r w:rsidRPr="003170A4">
        <w:rPr>
          <w:rFonts w:asciiTheme="majorBidi" w:hAnsiTheme="majorBidi" w:cstheme="majorBidi"/>
          <w:i/>
          <w:iCs/>
        </w:rPr>
        <w:t>Inovalon</w:t>
      </w:r>
      <w:proofErr w:type="spellEnd"/>
      <w:r w:rsidRPr="003170A4">
        <w:rPr>
          <w:rFonts w:asciiTheme="majorBidi" w:hAnsiTheme="majorBidi" w:cstheme="majorBidi"/>
          <w:i/>
          <w:iCs/>
        </w:rPr>
        <w:t xml:space="preserve"> Holdings, Inc</w:t>
      </w:r>
      <w:r w:rsidRPr="003170A4">
        <w:rPr>
          <w:rFonts w:asciiTheme="majorBidi" w:hAnsiTheme="majorBidi" w:cstheme="majorBidi"/>
        </w:rPr>
        <w:t xml:space="preserve">., No. 305, 2023, 2024 WL 1896096 (Del. May 1, 2024) (embracing plaintiffs’ arguments that </w:t>
      </w:r>
      <w:r w:rsidRPr="003170A4">
        <w:rPr>
          <w:rFonts w:asciiTheme="majorBidi" w:hAnsiTheme="majorBidi" w:cstheme="majorBidi"/>
          <w:i/>
          <w:iCs/>
        </w:rPr>
        <w:t>MFW</w:t>
      </w:r>
      <w:r w:rsidRPr="003170A4">
        <w:rPr>
          <w:rFonts w:asciiTheme="majorBidi" w:hAnsiTheme="majorBidi" w:cstheme="majorBidi"/>
        </w:rPr>
        <w:t xml:space="preserve"> was not satisfied where advisors to the special committee were conflicted and this fact was not disclosed to the shareholders); </w:t>
      </w:r>
      <w:r w:rsidRPr="003170A4">
        <w:rPr>
          <w:rFonts w:asciiTheme="majorBidi" w:hAnsiTheme="majorBidi" w:cstheme="majorBidi"/>
          <w:i/>
          <w:iCs/>
        </w:rPr>
        <w:t>City of Dearborn Police &amp; Fire Revised Ret. Sys. v. Brookfield Asset Mgmt. Inc.</w:t>
      </w:r>
      <w:r w:rsidRPr="003170A4">
        <w:rPr>
          <w:rFonts w:asciiTheme="majorBidi" w:hAnsiTheme="majorBidi" w:cstheme="majorBidi"/>
        </w:rPr>
        <w:t xml:space="preserve">, 314 A.3d 1108 (Del. 2024) (same); </w:t>
      </w:r>
      <w:r w:rsidRPr="003170A4">
        <w:rPr>
          <w:rFonts w:asciiTheme="majorBidi" w:hAnsiTheme="majorBidi" w:cstheme="majorBidi"/>
          <w:i/>
          <w:iCs/>
        </w:rPr>
        <w:t>Allen v. Harvey</w:t>
      </w:r>
      <w:r w:rsidRPr="003170A4">
        <w:rPr>
          <w:rFonts w:asciiTheme="majorBidi" w:hAnsiTheme="majorBidi" w:cstheme="majorBidi"/>
        </w:rPr>
        <w:t xml:space="preserve">, No. 2022-0248-MTZ, 2023 Del. Ch. LEXIS 463 (Del. Ch. Oct. 30, 2023) (holding that a special committee member’s ties to the company rendered the proxy statement stating that all special committee members were independent misleading, thereby holding that the shareholder vote </w:t>
      </w:r>
      <w:r w:rsidRPr="003170A4">
        <w:rPr>
          <w:rFonts w:asciiTheme="majorBidi" w:hAnsiTheme="majorBidi" w:cstheme="majorBidi"/>
          <w:i/>
          <w:iCs/>
        </w:rPr>
        <w:t>MFW</w:t>
      </w:r>
      <w:r w:rsidRPr="003170A4">
        <w:rPr>
          <w:rFonts w:asciiTheme="majorBidi" w:hAnsiTheme="majorBidi" w:cstheme="majorBidi"/>
        </w:rPr>
        <w:t xml:space="preserve"> condition was not satisfied).</w:t>
      </w:r>
    </w:p>
  </w:footnote>
  <w:footnote w:id="107">
    <w:p w14:paraId="5DAEA075" w14:textId="32C104E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Note that, given the relatively lax standard that MFW applied to the special committee condition, deficient disclosure might invalidate the shareholder vote condition without affecting the special committee condition. In cases involving advisors’ potential conflicts, for example, courts held that the special committee did not breach its duty of care by hiring advisors with ties to the controller. Yet the court held that </w:t>
      </w:r>
      <w:r w:rsidRPr="003170A4">
        <w:rPr>
          <w:rFonts w:asciiTheme="majorBidi" w:hAnsiTheme="majorBidi" w:cstheme="majorBidi"/>
          <w:i/>
          <w:iCs/>
        </w:rPr>
        <w:t>MFW</w:t>
      </w:r>
      <w:r w:rsidRPr="003170A4">
        <w:rPr>
          <w:rFonts w:asciiTheme="majorBidi" w:hAnsiTheme="majorBidi" w:cstheme="majorBidi"/>
        </w:rPr>
        <w:t xml:space="preserve"> did not apply because these ties should have been disclosed to shareholders.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w:t>
      </w:r>
      <w:r w:rsidRPr="003170A4">
        <w:rPr>
          <w:rFonts w:asciiTheme="majorBidi" w:hAnsiTheme="majorBidi" w:cstheme="majorBidi"/>
          <w:i/>
          <w:iCs/>
        </w:rPr>
        <w:t xml:space="preserve"> </w:t>
      </w:r>
      <w:proofErr w:type="spellStart"/>
      <w:r w:rsidRPr="003170A4">
        <w:rPr>
          <w:rFonts w:asciiTheme="majorBidi" w:hAnsiTheme="majorBidi" w:cstheme="majorBidi"/>
          <w:i/>
          <w:iCs/>
        </w:rPr>
        <w:t>Inovalon</w:t>
      </w:r>
      <w:proofErr w:type="spellEnd"/>
      <w:r w:rsidRPr="003170A4">
        <w:rPr>
          <w:rFonts w:asciiTheme="majorBidi" w:hAnsiTheme="majorBidi" w:cstheme="majorBidi"/>
        </w:rPr>
        <w:t>, 2024 Del. WL 1896096 at *15;</w:t>
      </w:r>
      <w:r w:rsidRPr="003170A4">
        <w:rPr>
          <w:rFonts w:asciiTheme="majorBidi" w:hAnsiTheme="majorBidi" w:cstheme="majorBidi"/>
          <w:i/>
          <w:iCs/>
        </w:rPr>
        <w:t xml:space="preserve"> Brookfield</w:t>
      </w:r>
      <w:r w:rsidRPr="003170A4">
        <w:rPr>
          <w:rFonts w:asciiTheme="majorBidi" w:hAnsiTheme="majorBidi" w:cstheme="majorBidi"/>
        </w:rPr>
        <w:t>, 314 A.3d. 1108, at 1134.</w:t>
      </w:r>
    </w:p>
  </w:footnote>
  <w:footnote w:id="108">
    <w:p w14:paraId="39E16A9F" w14:textId="2C7EC12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In re </w:t>
      </w:r>
      <w:proofErr w:type="spellStart"/>
      <w:r w:rsidRPr="003170A4">
        <w:rPr>
          <w:rFonts w:asciiTheme="majorBidi" w:hAnsiTheme="majorBidi" w:cstheme="majorBidi"/>
          <w:i/>
          <w:iCs/>
        </w:rPr>
        <w:t>Ezcorp</w:t>
      </w:r>
      <w:proofErr w:type="spellEnd"/>
      <w:r w:rsidRPr="003170A4">
        <w:rPr>
          <w:rFonts w:asciiTheme="majorBidi" w:hAnsiTheme="majorBidi" w:cstheme="majorBidi"/>
          <w:i/>
          <w:iCs/>
        </w:rPr>
        <w:t xml:space="preserve"> Inc. Consulting Agreement Derivative Litig.</w:t>
      </w:r>
      <w:r w:rsidRPr="003170A4">
        <w:rPr>
          <w:rFonts w:asciiTheme="majorBidi" w:hAnsiTheme="majorBidi" w:cstheme="majorBidi"/>
        </w:rPr>
        <w:t>, No. CV 9962-VCL, 2016 WL 301245, at *11 (Del. Ch. Jan. 25, 2016) (“If a controller agrees to use only one of the protections… then the … controller can achieve [] a shift in the burden of proof such that the plaintiff challenging the transaction must prove unfairness”).</w:t>
      </w:r>
    </w:p>
  </w:footnote>
  <w:footnote w:id="109">
    <w:p w14:paraId="17C4287C" w14:textId="5EB62EE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Even after </w:t>
      </w:r>
      <w:r w:rsidRPr="003170A4">
        <w:rPr>
          <w:rFonts w:asciiTheme="majorBidi" w:hAnsiTheme="majorBidi" w:cstheme="majorBidi"/>
          <w:i/>
          <w:iCs/>
        </w:rPr>
        <w:t>MFW</w:t>
      </w:r>
      <w:r w:rsidRPr="003170A4">
        <w:rPr>
          <w:rFonts w:asciiTheme="majorBidi" w:hAnsiTheme="majorBidi" w:cstheme="majorBidi"/>
        </w:rPr>
        <w:t xml:space="preserve">, using only one cleansing device—majority-of-minority vote or a special committee—entitles the controller to shift the burden to demonstrate unfairness to the plaintiff.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In re Match</w:t>
      </w:r>
      <w:r w:rsidRPr="003170A4">
        <w:rPr>
          <w:rFonts w:asciiTheme="majorBidi" w:hAnsiTheme="majorBidi" w:cstheme="majorBidi"/>
        </w:rPr>
        <w:t>, 315 A.3d. 474.</w:t>
      </w:r>
    </w:p>
  </w:footnote>
  <w:footnote w:id="110">
    <w:p w14:paraId="14FE40E4"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i/>
          <w:iCs/>
        </w:rPr>
        <w:t>See Clements,</w:t>
      </w:r>
      <w:r w:rsidRPr="003170A4">
        <w:rPr>
          <w:rFonts w:asciiTheme="majorBidi" w:hAnsiTheme="majorBidi" w:cstheme="majorBidi"/>
        </w:rPr>
        <w:t xml:space="preserve"> 790 A.2d at 1242 ([I]n a transaction where the outcome is foreordained by the majority stockholder's voting power and where that voting power precludes the Special Committee from finding other purchasers, the effective functioning of the Special Committee as an informed and aggressive negotiating force is of obvious importance to the public stockholders.”); </w:t>
      </w:r>
      <w:r w:rsidRPr="003170A4">
        <w:rPr>
          <w:rFonts w:asciiTheme="majorBidi" w:hAnsiTheme="majorBidi" w:cstheme="majorBidi"/>
          <w:i/>
          <w:iCs/>
        </w:rPr>
        <w:t xml:space="preserve">In re Emerging Commc'ns, Inc. </w:t>
      </w:r>
      <w:proofErr w:type="spellStart"/>
      <w:r w:rsidRPr="003170A4">
        <w:rPr>
          <w:rFonts w:asciiTheme="majorBidi" w:hAnsiTheme="majorBidi" w:cstheme="majorBidi"/>
          <w:i/>
          <w:iCs/>
        </w:rPr>
        <w:t>S'holders</w:t>
      </w:r>
      <w:proofErr w:type="spellEnd"/>
      <w:r w:rsidRPr="003170A4">
        <w:rPr>
          <w:rFonts w:asciiTheme="majorBidi" w:hAnsiTheme="majorBidi" w:cstheme="majorBidi"/>
          <w:i/>
          <w:iCs/>
        </w:rPr>
        <w:t xml:space="preserve"> Litig.</w:t>
      </w:r>
      <w:r w:rsidRPr="003170A4">
        <w:rPr>
          <w:rFonts w:asciiTheme="majorBidi" w:hAnsiTheme="majorBidi" w:cstheme="majorBidi"/>
        </w:rPr>
        <w:t xml:space="preserve">, No. CIV.A. 16415, 2004 WL 1305745, at *37 (Del. Ch. May 3, 2004). </w:t>
      </w:r>
      <w:r w:rsidRPr="003170A4">
        <w:rPr>
          <w:rFonts w:asciiTheme="majorBidi" w:hAnsiTheme="majorBidi" w:cstheme="majorBidi"/>
          <w:rtl/>
        </w:rPr>
        <w:t xml:space="preserve"> </w:t>
      </w:r>
    </w:p>
  </w:footnote>
  <w:footnote w:id="111">
    <w:p w14:paraId="54172107" w14:textId="220DEA7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sources cited </w:t>
      </w:r>
      <w:r w:rsidRPr="003170A4">
        <w:rPr>
          <w:rFonts w:asciiTheme="majorBidi" w:hAnsiTheme="majorBidi" w:cstheme="majorBidi"/>
          <w:i/>
          <w:iCs/>
        </w:rPr>
        <w:t>supra</w:t>
      </w:r>
      <w:r w:rsidRPr="003170A4">
        <w:rPr>
          <w:rFonts w:asciiTheme="majorBidi" w:hAnsiTheme="majorBidi" w:cstheme="majorBidi"/>
        </w:rPr>
        <w:t xml:space="preserve">, note </w:t>
      </w:r>
      <w:r w:rsidRPr="003170A4">
        <w:rPr>
          <w:rFonts w:asciiTheme="majorBidi" w:hAnsiTheme="majorBidi" w:cstheme="majorBidi"/>
        </w:rPr>
        <w:fldChar w:fldCharType="begin"/>
      </w:r>
      <w:r w:rsidRPr="003170A4">
        <w:rPr>
          <w:rFonts w:asciiTheme="majorBidi" w:hAnsiTheme="majorBidi" w:cstheme="majorBidi"/>
        </w:rPr>
        <w:instrText xml:space="preserve"> NOTEREF _Ref173221279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102</w:t>
      </w:r>
      <w:r w:rsidRPr="003170A4">
        <w:rPr>
          <w:rFonts w:asciiTheme="majorBidi" w:hAnsiTheme="majorBidi" w:cstheme="majorBidi"/>
        </w:rPr>
        <w:fldChar w:fldCharType="end"/>
      </w:r>
      <w:r w:rsidRPr="003170A4">
        <w:rPr>
          <w:rFonts w:asciiTheme="majorBidi" w:hAnsiTheme="majorBidi" w:cstheme="majorBidi"/>
        </w:rPr>
        <w:t>.</w:t>
      </w:r>
    </w:p>
  </w:footnote>
  <w:footnote w:id="112">
    <w:p w14:paraId="5B121A6D" w14:textId="3F5C186A"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supra</w:t>
      </w:r>
      <w:r w:rsidRPr="003170A4">
        <w:rPr>
          <w:rFonts w:asciiTheme="majorBidi" w:hAnsiTheme="majorBidi" w:cstheme="majorBidi"/>
        </w:rPr>
        <w:t xml:space="preserve"> note </w:t>
      </w:r>
      <w:r w:rsidRPr="003170A4">
        <w:rPr>
          <w:rFonts w:asciiTheme="majorBidi" w:hAnsiTheme="majorBidi" w:cstheme="majorBidi"/>
        </w:rPr>
        <w:fldChar w:fldCharType="begin"/>
      </w:r>
      <w:r w:rsidRPr="003170A4">
        <w:rPr>
          <w:rFonts w:asciiTheme="majorBidi" w:hAnsiTheme="majorBidi" w:cstheme="majorBidi"/>
        </w:rPr>
        <w:instrText xml:space="preserve"> NOTEREF _Ref181363209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103</w:t>
      </w:r>
      <w:r w:rsidRPr="003170A4">
        <w:rPr>
          <w:rFonts w:asciiTheme="majorBidi" w:hAnsiTheme="majorBidi" w:cstheme="majorBidi"/>
        </w:rPr>
        <w:fldChar w:fldCharType="end"/>
      </w:r>
      <w:r w:rsidRPr="003170A4">
        <w:rPr>
          <w:rFonts w:asciiTheme="majorBidi" w:hAnsiTheme="majorBidi" w:cstheme="majorBidi"/>
          <w:i/>
          <w:iCs/>
        </w:rPr>
        <w:t>.</w:t>
      </w:r>
    </w:p>
  </w:footnote>
  <w:footnote w:id="113">
    <w:p w14:paraId="6FC7532C" w14:textId="18E8A7F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This very result occurred in </w:t>
      </w:r>
      <w:r w:rsidRPr="003170A4">
        <w:rPr>
          <w:rFonts w:asciiTheme="majorBidi" w:hAnsiTheme="majorBidi" w:cstheme="majorBidi"/>
          <w:i/>
          <w:iCs/>
        </w:rPr>
        <w:t xml:space="preserve">Tornetta, </w:t>
      </w:r>
      <w:r w:rsidRPr="003170A4">
        <w:rPr>
          <w:rFonts w:asciiTheme="majorBidi" w:hAnsiTheme="majorBidi" w:cstheme="majorBidi"/>
        </w:rPr>
        <w:t xml:space="preserve">where details about the non-independence of directors were not disclosed to the shareholders, which caused the court to rule that not only was the disclosure flawed, but also the shareholder approval. </w:t>
      </w:r>
      <w:r w:rsidRPr="003170A4">
        <w:rPr>
          <w:rFonts w:asciiTheme="majorBidi" w:hAnsiTheme="majorBidi" w:cstheme="majorBidi"/>
          <w:i/>
          <w:iCs/>
        </w:rPr>
        <w:t>Tornetta</w:t>
      </w:r>
      <w:r w:rsidRPr="003170A4">
        <w:rPr>
          <w:rFonts w:asciiTheme="majorBidi" w:hAnsiTheme="majorBidi" w:cstheme="majorBidi"/>
        </w:rPr>
        <w:t xml:space="preserve">, 310 A.3d at 523. Not only that, this committee failure also colored the entire fairness analysis.  </w:t>
      </w:r>
    </w:p>
  </w:footnote>
  <w:footnote w:id="114">
    <w:p w14:paraId="7786A539" w14:textId="037D7AB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115">
    <w:p w14:paraId="136A6266" w14:textId="5980113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116">
    <w:p w14:paraId="1AC9C22C" w14:textId="072A016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117">
    <w:p w14:paraId="18DDE5AF" w14:textId="5A6FA356" w:rsidR="00B54C7C" w:rsidRPr="003170A4" w:rsidRDefault="00B54C7C" w:rsidP="007442E8">
      <w:pPr>
        <w:pStyle w:val="FootnoteText"/>
        <w:jc w:val="both"/>
        <w:rPr>
          <w:rFonts w:asciiTheme="majorBidi" w:hAnsiTheme="majorBidi" w:cstheme="majorBidi"/>
          <w:rtl/>
          <w:lang w:bidi="he-IL"/>
        </w:rPr>
      </w:pPr>
      <w:r w:rsidRPr="003170A4">
        <w:rPr>
          <w:rStyle w:val="FootnoteReference"/>
          <w:rFonts w:asciiTheme="majorBidi" w:hAnsiTheme="majorBidi" w:cstheme="majorBidi"/>
        </w:rPr>
        <w:footnoteRef/>
      </w:r>
      <w:r w:rsidRPr="003170A4">
        <w:rPr>
          <w:rFonts w:asciiTheme="majorBidi" w:hAnsiTheme="majorBidi" w:cstheme="majorBidi"/>
        </w:rPr>
        <w:t xml:space="preserve"> Courts can give weight to shareholder vote as evidence of fairness even when none of the </w:t>
      </w:r>
      <w:r w:rsidRPr="003170A4">
        <w:rPr>
          <w:rFonts w:asciiTheme="majorBidi" w:hAnsiTheme="majorBidi" w:cstheme="majorBidi"/>
          <w:i/>
          <w:iCs/>
        </w:rPr>
        <w:t>MFW</w:t>
      </w:r>
      <w:r w:rsidRPr="003170A4">
        <w:rPr>
          <w:rFonts w:asciiTheme="majorBidi" w:hAnsiTheme="majorBidi" w:cstheme="majorBidi"/>
        </w:rPr>
        <w:t xml:space="preserve"> conditions applies. After all, an informed shareholder vote approving the proposed transaction with the controller can provide an important indication that the price is fair.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In re Tesla</w:t>
      </w:r>
      <w:r w:rsidRPr="003170A4">
        <w:rPr>
          <w:rFonts w:asciiTheme="majorBidi" w:hAnsiTheme="majorBidi" w:cstheme="majorBidi"/>
        </w:rPr>
        <w:t xml:space="preserve">, 298 A.3d at 727–28 (an informed shareholder vote can weigh in favor of fairness); </w:t>
      </w:r>
      <w:r w:rsidRPr="003170A4">
        <w:rPr>
          <w:rFonts w:asciiTheme="majorBidi" w:hAnsiTheme="majorBidi" w:cstheme="majorBidi"/>
          <w:i/>
          <w:iCs/>
        </w:rPr>
        <w:t>see also</w:t>
      </w:r>
      <w:r w:rsidRPr="003170A4">
        <w:rPr>
          <w:rFonts w:asciiTheme="majorBidi" w:hAnsiTheme="majorBidi" w:cstheme="majorBidi"/>
        </w:rPr>
        <w:t xml:space="preserve"> </w:t>
      </w:r>
      <w:r w:rsidRPr="003170A4">
        <w:rPr>
          <w:rFonts w:asciiTheme="majorBidi" w:hAnsiTheme="majorBidi" w:cstheme="majorBidi"/>
          <w:i/>
          <w:iCs/>
        </w:rPr>
        <w:t>Cinerama, Inc. v. Technicolor</w:t>
      </w:r>
      <w:r w:rsidRPr="003170A4">
        <w:rPr>
          <w:rFonts w:asciiTheme="majorBidi" w:hAnsiTheme="majorBidi" w:cstheme="majorBidi"/>
        </w:rPr>
        <w:t xml:space="preserve">, Inc., 663 A.2d 1156, 1176 (Del. 1995) (absent disclosure violations, the support of an “overwhelming majority” of stockholders constitutes “substantial evidence of fairness.”). In </w:t>
      </w:r>
      <w:r w:rsidRPr="003170A4">
        <w:rPr>
          <w:rFonts w:asciiTheme="majorBidi" w:hAnsiTheme="majorBidi" w:cstheme="majorBidi"/>
          <w:i/>
          <w:iCs/>
        </w:rPr>
        <w:t>Tornetta</w:t>
      </w:r>
      <w:r w:rsidRPr="003170A4">
        <w:rPr>
          <w:rFonts w:asciiTheme="majorBidi" w:hAnsiTheme="majorBidi" w:cstheme="majorBidi"/>
        </w:rPr>
        <w:t xml:space="preserve">, however, the court held that the lack of disclosure concerning the compensation committee precluded it from giving weight to the stockholders’ vote as evidence of fairness.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 at 543–44.</w:t>
      </w:r>
    </w:p>
  </w:footnote>
  <w:footnote w:id="118">
    <w:p w14:paraId="4F54149A" w14:textId="550EC3C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For purposes of this Article, we assume that Musk constituted a controlling shareholder, although this conclusion is subject to debate.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Hamermesh, </w:t>
      </w:r>
      <w:r w:rsidRPr="003170A4">
        <w:rPr>
          <w:rFonts w:asciiTheme="majorBidi" w:hAnsiTheme="majorBidi" w:cstheme="majorBidi"/>
          <w:i/>
          <w:iCs/>
        </w:rPr>
        <w:t>supra</w:t>
      </w:r>
      <w:r w:rsidRPr="003170A4">
        <w:rPr>
          <w:rFonts w:asciiTheme="majorBidi" w:hAnsiTheme="majorBidi" w:cstheme="majorBidi"/>
        </w:rPr>
        <w:t xml:space="preserve"> note 18 at 37 (“The [] finding </w:t>
      </w:r>
      <w:proofErr w:type="gramStart"/>
      <w:r w:rsidRPr="003170A4">
        <w:rPr>
          <w:rFonts w:asciiTheme="majorBidi" w:hAnsiTheme="majorBidi" w:cstheme="majorBidi"/>
        </w:rPr>
        <w:t>[]that</w:t>
      </w:r>
      <w:proofErr w:type="gramEnd"/>
      <w:r w:rsidRPr="003170A4">
        <w:rPr>
          <w:rFonts w:asciiTheme="majorBidi" w:hAnsiTheme="majorBidi" w:cstheme="majorBidi"/>
        </w:rPr>
        <w:t xml:space="preserve"> Musk was so talented and visionary that the company could not succeed without him [] does not rationally imply that someone is a controlling stockholder.”); Ann Lipton, </w:t>
      </w:r>
      <w:r w:rsidRPr="003170A4">
        <w:rPr>
          <w:rFonts w:asciiTheme="majorBidi" w:hAnsiTheme="majorBidi" w:cstheme="majorBidi"/>
          <w:i/>
          <w:iCs/>
        </w:rPr>
        <w:t>After Corwin: Down the Controlling Shareholder Rabbit Hole</w:t>
      </w:r>
      <w:r w:rsidRPr="003170A4">
        <w:rPr>
          <w:rFonts w:asciiTheme="majorBidi" w:hAnsiTheme="majorBidi" w:cstheme="majorBidi"/>
        </w:rPr>
        <w:t xml:space="preserve">, 72 Vand. L. Rev. 1977 (2019) (discussing the complexity of determining who is a controlling shareholder in the modern market environment). </w:t>
      </w:r>
    </w:p>
  </w:footnote>
  <w:footnote w:id="119">
    <w:p w14:paraId="48D47850" w14:textId="29F0188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 443</w:t>
      </w:r>
      <w:r w:rsidRPr="003170A4">
        <w:rPr>
          <w:rFonts w:asciiTheme="majorBidi" w:hAnsiTheme="majorBidi" w:cstheme="majorBidi"/>
        </w:rPr>
        <w:tab/>
      </w:r>
    </w:p>
  </w:footnote>
  <w:footnote w:id="120">
    <w:p w14:paraId="027013F7" w14:textId="2B05FAB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In re Tesla</w:t>
      </w:r>
      <w:r w:rsidRPr="003170A4">
        <w:rPr>
          <w:rFonts w:asciiTheme="majorBidi" w:hAnsiTheme="majorBidi" w:cstheme="majorBidi"/>
        </w:rPr>
        <w:t>, 298 A.3d 726.</w:t>
      </w:r>
    </w:p>
  </w:footnote>
  <w:footnote w:id="121">
    <w:p w14:paraId="250C6EBA" w14:textId="5BBC0FF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For simplicity, we use the example of entrepreneurs. But even CEOs of established companies can have idiosyncratic vision that would allow them to produce above market returns for investors.</w:t>
      </w:r>
      <w:r w:rsidRPr="003170A4">
        <w:rPr>
          <w:rFonts w:asciiTheme="majorBidi" w:hAnsiTheme="majorBidi" w:cstheme="majorBidi"/>
          <w:smallCaps/>
        </w:rPr>
        <w:t xml:space="preserve"> </w:t>
      </w:r>
    </w:p>
  </w:footnote>
  <w:footnote w:id="122">
    <w:p w14:paraId="406CAD53" w14:textId="2121709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Goshen, </w:t>
      </w:r>
      <w:r w:rsidRPr="003170A4">
        <w:rPr>
          <w:rFonts w:asciiTheme="majorBidi" w:hAnsiTheme="majorBidi" w:cstheme="majorBidi"/>
          <w:i/>
          <w:iCs/>
        </w:rPr>
        <w:t>supra</w:t>
      </w:r>
      <w:r w:rsidRPr="003170A4">
        <w:rPr>
          <w:rFonts w:asciiTheme="majorBidi" w:hAnsiTheme="majorBidi" w:cstheme="majorBidi"/>
        </w:rPr>
        <w:t xml:space="preserve"> note 19, at 577. This concept has been referred to by other names: the entrepreneurial vision or idea, the business plan, the subjective value, or the hidden value. </w:t>
      </w:r>
      <w:r w:rsidRPr="003170A4">
        <w:rPr>
          <w:rFonts w:asciiTheme="majorBidi" w:hAnsiTheme="majorBidi" w:cstheme="majorBidi"/>
          <w:i/>
          <w:iCs/>
        </w:rPr>
        <w:t>See</w:t>
      </w:r>
      <w:r w:rsidRPr="003170A4">
        <w:rPr>
          <w:rFonts w:asciiTheme="majorBidi" w:hAnsiTheme="majorBidi" w:cstheme="majorBidi"/>
        </w:rPr>
        <w:t>,</w:t>
      </w:r>
      <w:r w:rsidRPr="003170A4">
        <w:rPr>
          <w:rFonts w:asciiTheme="majorBidi" w:hAnsiTheme="majorBidi" w:cstheme="majorBidi"/>
          <w:i/>
          <w:iCs/>
        </w:rPr>
        <w:t xml:space="preserve"> e.g.</w:t>
      </w:r>
      <w:r w:rsidRPr="003170A4">
        <w:rPr>
          <w:rFonts w:asciiTheme="majorBidi" w:hAnsiTheme="majorBidi" w:cstheme="majorBidi"/>
        </w:rPr>
        <w:t xml:space="preserve">, Bernard Black &amp; Reinier Kraakman, </w:t>
      </w:r>
      <w:r w:rsidRPr="003170A4">
        <w:rPr>
          <w:rFonts w:asciiTheme="majorBidi" w:hAnsiTheme="majorBidi" w:cstheme="majorBidi"/>
          <w:i/>
          <w:iCs/>
        </w:rPr>
        <w:t>Delaware’s Takeover Law: The Uncertain Search for Hidden Value</w:t>
      </w:r>
      <w:r w:rsidRPr="003170A4">
        <w:rPr>
          <w:rFonts w:asciiTheme="majorBidi" w:hAnsiTheme="majorBidi" w:cstheme="majorBidi"/>
        </w:rPr>
        <w:t xml:space="preserve">, 96 </w:t>
      </w:r>
      <w:r w:rsidRPr="003170A4">
        <w:rPr>
          <w:rFonts w:asciiTheme="majorBidi" w:hAnsiTheme="majorBidi" w:cstheme="majorBidi"/>
          <w:smallCaps/>
        </w:rPr>
        <w:t>NW. U. L. Rev</w:t>
      </w:r>
      <w:r w:rsidRPr="003170A4">
        <w:rPr>
          <w:rFonts w:asciiTheme="majorBidi" w:hAnsiTheme="majorBidi" w:cstheme="majorBidi"/>
        </w:rPr>
        <w:t>. 521, 521-22 (2002) (expressing the concept as “hidden value” to describe Delaware’s deference to the incumbent board in hostile takeover cases).</w:t>
      </w:r>
    </w:p>
  </w:footnote>
  <w:footnote w:id="123">
    <w:p w14:paraId="24421AD4" w14:textId="4505E63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Goshen, </w:t>
      </w:r>
      <w:r w:rsidRPr="003170A4">
        <w:rPr>
          <w:rFonts w:asciiTheme="majorBidi" w:hAnsiTheme="majorBidi" w:cstheme="majorBidi"/>
          <w:i/>
          <w:iCs/>
        </w:rPr>
        <w:t>supra</w:t>
      </w:r>
      <w:r w:rsidRPr="003170A4">
        <w:rPr>
          <w:rFonts w:asciiTheme="majorBidi" w:hAnsiTheme="majorBidi" w:cstheme="majorBidi"/>
        </w:rPr>
        <w:t xml:space="preserve"> note 19, at 577. </w:t>
      </w:r>
    </w:p>
  </w:footnote>
  <w:footnote w:id="124">
    <w:p w14:paraId="170BEA0B" w14:textId="2BD6F35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smallCaps/>
        </w:rPr>
        <w:t>Isaacson</w:t>
      </w:r>
      <w:r w:rsidRPr="003170A4">
        <w:rPr>
          <w:rFonts w:asciiTheme="majorBidi" w:hAnsiTheme="majorBidi" w:cstheme="majorBidi"/>
        </w:rPr>
        <w:t xml:space="preserve">, </w:t>
      </w:r>
      <w:r w:rsidRPr="003170A4">
        <w:rPr>
          <w:rFonts w:asciiTheme="majorBidi" w:hAnsiTheme="majorBidi" w:cstheme="majorBidi"/>
          <w:i/>
          <w:iCs/>
        </w:rPr>
        <w:t>supra</w:t>
      </w:r>
      <w:r w:rsidRPr="003170A4">
        <w:rPr>
          <w:rFonts w:asciiTheme="majorBidi" w:hAnsiTheme="majorBidi" w:cstheme="majorBidi"/>
        </w:rPr>
        <w:t xml:space="preserve"> note 24, at 59-79 (describing the founding of Apple and the invention of the Apple I and II computer).</w:t>
      </w:r>
    </w:p>
  </w:footnote>
  <w:footnote w:id="125">
    <w:p w14:paraId="51FB0428"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Steve Olenski, </w:t>
      </w:r>
      <w:r w:rsidRPr="003170A4">
        <w:rPr>
          <w:rFonts w:asciiTheme="majorBidi" w:hAnsiTheme="majorBidi" w:cstheme="majorBidi"/>
          <w:i/>
          <w:iCs/>
        </w:rPr>
        <w:t>The Evolution of Ecommerce</w:t>
      </w:r>
      <w:r w:rsidRPr="003170A4">
        <w:rPr>
          <w:rFonts w:asciiTheme="majorBidi" w:hAnsiTheme="majorBidi" w:cstheme="majorBidi"/>
        </w:rPr>
        <w:t xml:space="preserve">, </w:t>
      </w:r>
      <w:r w:rsidRPr="003170A4">
        <w:rPr>
          <w:rFonts w:asciiTheme="majorBidi" w:hAnsiTheme="majorBidi" w:cstheme="majorBidi"/>
          <w:smallCaps/>
        </w:rPr>
        <w:t>Forbes</w:t>
      </w:r>
      <w:r w:rsidRPr="003170A4">
        <w:rPr>
          <w:rFonts w:asciiTheme="majorBidi" w:hAnsiTheme="majorBidi" w:cstheme="majorBidi"/>
        </w:rPr>
        <w:t xml:space="preserve"> (describing Jeff Bezos’ first online book sale and the subsequent boom in the ecommerce industry).</w:t>
      </w:r>
    </w:p>
  </w:footnote>
  <w:footnote w:id="126">
    <w:p w14:paraId="3F1E7639"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smallCaps/>
        </w:rPr>
        <w:t>Thomas K. McCraw, American Business, 1920-2000: How It Worked</w:t>
      </w:r>
      <w:r w:rsidRPr="003170A4">
        <w:rPr>
          <w:rFonts w:asciiTheme="majorBidi" w:hAnsiTheme="majorBidi" w:cstheme="majorBidi"/>
        </w:rPr>
        <w:t xml:space="preserve"> (2000) (describing how Procter and Gamble’s development of brand management and a new kind of market research changed the way consumer marketing decisions are made).  </w:t>
      </w:r>
    </w:p>
  </w:footnote>
  <w:footnote w:id="127">
    <w:p w14:paraId="32AB5ED8" w14:textId="70414C5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M. Todd Henderson, </w:t>
      </w:r>
      <w:r w:rsidRPr="003170A4">
        <w:rPr>
          <w:rFonts w:asciiTheme="majorBidi" w:hAnsiTheme="majorBidi" w:cstheme="majorBidi"/>
          <w:i/>
          <w:iCs/>
        </w:rPr>
        <w:t>The Story of Dodge v. Ford Motor Company: Everything Old Is New Again</w:t>
      </w:r>
      <w:r w:rsidRPr="003170A4">
        <w:rPr>
          <w:rFonts w:asciiTheme="majorBidi" w:hAnsiTheme="majorBidi" w:cstheme="majorBidi"/>
        </w:rPr>
        <w:t xml:space="preserve">, </w:t>
      </w:r>
      <w:r w:rsidRPr="003170A4">
        <w:rPr>
          <w:rFonts w:asciiTheme="majorBidi" w:hAnsiTheme="majorBidi" w:cstheme="majorBidi"/>
          <w:smallCaps/>
        </w:rPr>
        <w:t>Corporate Law Stories,</w:t>
      </w:r>
      <w:r w:rsidRPr="003170A4">
        <w:rPr>
          <w:rFonts w:asciiTheme="majorBidi" w:hAnsiTheme="majorBidi" w:cstheme="majorBidi"/>
        </w:rPr>
        <w:t xml:space="preserve"> 37, 40 (J. Mark Ramseyer ed., 2009).</w:t>
      </w:r>
    </w:p>
  </w:footnote>
  <w:footnote w:id="128">
    <w:p w14:paraId="73626559"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Sue Landau, </w:t>
      </w:r>
      <w:r w:rsidRPr="003170A4">
        <w:rPr>
          <w:rFonts w:asciiTheme="majorBidi" w:hAnsiTheme="majorBidi" w:cstheme="majorBidi"/>
          <w:i/>
          <w:iCs/>
        </w:rPr>
        <w:t>Spotlight: FedEx Chief Looks at Next Destination</w:t>
      </w:r>
      <w:r w:rsidRPr="003170A4">
        <w:rPr>
          <w:rFonts w:asciiTheme="majorBidi" w:hAnsiTheme="majorBidi" w:cstheme="majorBidi"/>
        </w:rPr>
        <w:t>, N.</w:t>
      </w:r>
      <w:r w:rsidRPr="003170A4">
        <w:rPr>
          <w:rFonts w:asciiTheme="majorBidi" w:hAnsiTheme="majorBidi" w:cstheme="majorBidi"/>
          <w:smallCaps/>
        </w:rPr>
        <w:t>Y. Times</w:t>
      </w:r>
      <w:r w:rsidRPr="003170A4">
        <w:rPr>
          <w:rFonts w:asciiTheme="majorBidi" w:hAnsiTheme="majorBidi" w:cstheme="majorBidi"/>
        </w:rPr>
        <w:t xml:space="preserve"> (Feb. 5, 2005) (recounting FedEx founder Fred Smith’s “</w:t>
      </w:r>
      <w:proofErr w:type="spellStart"/>
      <w:r w:rsidRPr="003170A4">
        <w:rPr>
          <w:rFonts w:asciiTheme="majorBidi" w:hAnsiTheme="majorBidi" w:cstheme="majorBidi"/>
        </w:rPr>
        <w:t>revolutioniz</w:t>
      </w:r>
      <w:proofErr w:type="spellEnd"/>
      <w:r w:rsidRPr="003170A4">
        <w:rPr>
          <w:rFonts w:asciiTheme="majorBidi" w:hAnsiTheme="majorBidi" w:cstheme="majorBidi"/>
        </w:rPr>
        <w:t>[</w:t>
      </w:r>
      <w:proofErr w:type="spellStart"/>
      <w:r w:rsidRPr="003170A4">
        <w:rPr>
          <w:rFonts w:asciiTheme="majorBidi" w:hAnsiTheme="majorBidi" w:cstheme="majorBidi"/>
        </w:rPr>
        <w:t>ing</w:t>
      </w:r>
      <w:proofErr w:type="spellEnd"/>
      <w:r w:rsidRPr="003170A4">
        <w:rPr>
          <w:rFonts w:asciiTheme="majorBidi" w:hAnsiTheme="majorBidi" w:cstheme="majorBidi"/>
        </w:rPr>
        <w:t xml:space="preserve">] the air transport business”). </w:t>
      </w:r>
    </w:p>
  </w:footnote>
  <w:footnote w:id="129">
    <w:p w14:paraId="20D70237" w14:textId="3E26A6A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Steven Goldberg, </w:t>
      </w:r>
      <w:r w:rsidRPr="003170A4">
        <w:rPr>
          <w:rFonts w:asciiTheme="majorBidi" w:hAnsiTheme="majorBidi" w:cstheme="majorBidi"/>
          <w:i/>
          <w:iCs/>
        </w:rPr>
        <w:t>John Bogle: The Defiant Patron Saint of Index Investing</w:t>
      </w:r>
      <w:r w:rsidRPr="003170A4">
        <w:rPr>
          <w:rFonts w:asciiTheme="majorBidi" w:hAnsiTheme="majorBidi" w:cstheme="majorBidi"/>
        </w:rPr>
        <w:t xml:space="preserve">, </w:t>
      </w:r>
      <w:r w:rsidRPr="003170A4">
        <w:rPr>
          <w:rFonts w:asciiTheme="majorBidi" w:hAnsiTheme="majorBidi" w:cstheme="majorBidi"/>
          <w:smallCaps/>
        </w:rPr>
        <w:t>Kiplinger</w:t>
      </w:r>
      <w:r w:rsidRPr="003170A4">
        <w:rPr>
          <w:rFonts w:asciiTheme="majorBidi" w:hAnsiTheme="majorBidi" w:cstheme="majorBidi"/>
        </w:rPr>
        <w:t xml:space="preserve"> (Jan. 17, 2019), https://www.kiplinger.com/article/investing/t030-c007-s001-john-bogle-patron-saint-index-investing-dies-89.html</w:t>
      </w:r>
    </w:p>
  </w:footnote>
  <w:footnote w:id="130">
    <w:p w14:paraId="5856B5B5" w14:textId="0ACCE94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John C. Bogle, </w:t>
      </w:r>
      <w:r w:rsidRPr="003170A4">
        <w:rPr>
          <w:rFonts w:asciiTheme="majorBidi" w:hAnsiTheme="majorBidi" w:cstheme="majorBidi"/>
          <w:i/>
          <w:iCs/>
        </w:rPr>
        <w:t>The Economic Role of the Investment Company,</w:t>
      </w:r>
      <w:r w:rsidRPr="003170A4">
        <w:rPr>
          <w:rFonts w:asciiTheme="majorBidi" w:hAnsiTheme="majorBidi" w:cstheme="majorBidi"/>
        </w:rPr>
        <w:t xml:space="preserve"> </w:t>
      </w:r>
      <w:r w:rsidRPr="003170A4">
        <w:rPr>
          <w:rFonts w:asciiTheme="majorBidi" w:hAnsiTheme="majorBidi" w:cstheme="majorBidi"/>
          <w:smallCaps/>
        </w:rPr>
        <w:t>Princeton Univ. Undergraduate Senior Thesis</w:t>
      </w:r>
      <w:r w:rsidRPr="003170A4">
        <w:rPr>
          <w:rFonts w:asciiTheme="majorBidi" w:hAnsiTheme="majorBidi" w:cstheme="majorBidi"/>
        </w:rPr>
        <w:t xml:space="preserve"> (1951).</w:t>
      </w:r>
    </w:p>
  </w:footnote>
  <w:footnote w:id="131">
    <w:p w14:paraId="737CCD9F" w14:textId="70EA067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Goldberg, </w:t>
      </w:r>
      <w:r w:rsidRPr="003170A4">
        <w:rPr>
          <w:rFonts w:asciiTheme="majorBidi" w:hAnsiTheme="majorBidi" w:cstheme="majorBidi"/>
          <w:i/>
          <w:iCs/>
        </w:rPr>
        <w:t>supra</w:t>
      </w:r>
      <w:r w:rsidRPr="003170A4">
        <w:rPr>
          <w:rFonts w:asciiTheme="majorBidi" w:hAnsiTheme="majorBidi" w:cstheme="majorBidi"/>
        </w:rPr>
        <w:t xml:space="preserve"> note 104.</w:t>
      </w:r>
    </w:p>
  </w:footnote>
  <w:footnote w:id="132">
    <w:p w14:paraId="15E93E35" w14:textId="5D0686D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smallCaps/>
        </w:rPr>
        <w:t>Knut A. Rostad, The Man in the Arena: Vanguard Founder John C. Bogle and His Lifelong Battle to Serve Investors First</w:t>
      </w:r>
      <w:r w:rsidRPr="003170A4">
        <w:rPr>
          <w:rFonts w:asciiTheme="majorBidi" w:hAnsiTheme="majorBidi" w:cstheme="majorBidi"/>
        </w:rPr>
        <w:t xml:space="preserve"> (2013), 138. </w:t>
      </w:r>
    </w:p>
  </w:footnote>
  <w:footnote w:id="133">
    <w:p w14:paraId="30042B08" w14:textId="5E6F421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134">
    <w:p w14:paraId="2AF39917" w14:textId="6D4651D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135">
    <w:p w14:paraId="5E44D042" w14:textId="63F8B6C1"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at 139. </w:t>
      </w:r>
    </w:p>
  </w:footnote>
  <w:footnote w:id="136">
    <w:p w14:paraId="10F66A11" w14:textId="1371B71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at 138. </w:t>
      </w:r>
    </w:p>
  </w:footnote>
  <w:footnote w:id="137">
    <w:p w14:paraId="584FCBD7" w14:textId="0C8AB39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w:t>
      </w:r>
    </w:p>
  </w:footnote>
  <w:footnote w:id="138">
    <w:p w14:paraId="084BE3C1" w14:textId="4018A2D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w:t>
      </w:r>
    </w:p>
  </w:footnote>
  <w:footnote w:id="139">
    <w:p w14:paraId="0D176028" w14:textId="0C2AE22D"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A Plague on Both </w:t>
      </w:r>
      <w:proofErr w:type="gramStart"/>
      <w:r w:rsidRPr="003170A4">
        <w:rPr>
          <w:rFonts w:asciiTheme="majorBidi" w:hAnsiTheme="majorBidi" w:cstheme="majorBidi"/>
          <w:i/>
          <w:iCs/>
        </w:rPr>
        <w:t>Houses?</w:t>
      </w:r>
      <w:r w:rsidRPr="003170A4">
        <w:rPr>
          <w:rFonts w:asciiTheme="majorBidi" w:hAnsiTheme="majorBidi" w:cstheme="majorBidi"/>
        </w:rPr>
        <w:t>,</w:t>
      </w:r>
      <w:proofErr w:type="gramEnd"/>
      <w:r w:rsidRPr="003170A4">
        <w:rPr>
          <w:rFonts w:asciiTheme="majorBidi" w:hAnsiTheme="majorBidi" w:cstheme="majorBidi"/>
        </w:rPr>
        <w:t xml:space="preserve"> </w:t>
      </w:r>
      <w:r w:rsidRPr="003170A4">
        <w:rPr>
          <w:rFonts w:asciiTheme="majorBidi" w:hAnsiTheme="majorBidi" w:cstheme="majorBidi"/>
          <w:smallCaps/>
        </w:rPr>
        <w:t>Forbes</w:t>
      </w:r>
      <w:r w:rsidRPr="003170A4">
        <w:rPr>
          <w:rFonts w:asciiTheme="majorBidi" w:hAnsiTheme="majorBidi" w:cstheme="majorBidi"/>
        </w:rPr>
        <w:t xml:space="preserve"> (May 1975).</w:t>
      </w:r>
    </w:p>
  </w:footnote>
  <w:footnote w:id="140">
    <w:p w14:paraId="626D2520" w14:textId="64339F4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Goldberg, </w:t>
      </w:r>
      <w:r w:rsidRPr="003170A4">
        <w:rPr>
          <w:rFonts w:asciiTheme="majorBidi" w:hAnsiTheme="majorBidi" w:cstheme="majorBidi"/>
          <w:i/>
          <w:iCs/>
        </w:rPr>
        <w:t>supra</w:t>
      </w:r>
      <w:r w:rsidRPr="003170A4">
        <w:rPr>
          <w:rFonts w:asciiTheme="majorBidi" w:hAnsiTheme="majorBidi" w:cstheme="majorBidi"/>
        </w:rPr>
        <w:t xml:space="preserve"> note 104.</w:t>
      </w:r>
    </w:p>
  </w:footnote>
  <w:footnote w:id="141">
    <w:p w14:paraId="10361771" w14:textId="2B734DB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Goldberg, </w:t>
      </w:r>
      <w:r w:rsidRPr="003170A4">
        <w:rPr>
          <w:rFonts w:asciiTheme="majorBidi" w:hAnsiTheme="majorBidi" w:cstheme="majorBidi"/>
          <w:i/>
          <w:iCs/>
        </w:rPr>
        <w:t>supra</w:t>
      </w:r>
      <w:r w:rsidRPr="003170A4">
        <w:rPr>
          <w:rFonts w:asciiTheme="majorBidi" w:hAnsiTheme="majorBidi" w:cstheme="majorBidi"/>
        </w:rPr>
        <w:t xml:space="preserve"> note 104.</w:t>
      </w:r>
    </w:p>
  </w:footnote>
  <w:footnote w:id="142">
    <w:p w14:paraId="062E033A" w14:textId="4B215E6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Jeff Cox, </w:t>
      </w:r>
      <w:r w:rsidRPr="003170A4">
        <w:rPr>
          <w:rFonts w:asciiTheme="majorBidi" w:hAnsiTheme="majorBidi" w:cstheme="majorBidi"/>
          <w:i/>
          <w:iCs/>
        </w:rPr>
        <w:t>Passive Investing Rules Wall Street Now, Topping Actively Managed Assets in Stock, Bond and Other Funds</w:t>
      </w:r>
      <w:r w:rsidRPr="003170A4">
        <w:rPr>
          <w:rFonts w:asciiTheme="majorBidi" w:hAnsiTheme="majorBidi" w:cstheme="majorBidi"/>
        </w:rPr>
        <w:t xml:space="preserve">, CNBC, </w:t>
      </w:r>
      <w:hyperlink r:id="rId9" w:history="1">
        <w:r w:rsidRPr="003170A4">
          <w:rPr>
            <w:rStyle w:val="Hyperlink"/>
            <w:rFonts w:asciiTheme="majorBidi" w:hAnsiTheme="majorBidi" w:cstheme="majorBidi"/>
            <w:color w:val="auto"/>
            <w:u w:val="none"/>
          </w:rPr>
          <w:t>https://www.cnbc.com/2024/01/18/passive-investing-rules-wall-street-now-topping-actively-managed-assets-in-stock-bond-and-other-funds.html</w:t>
        </w:r>
      </w:hyperlink>
      <w:r w:rsidRPr="003170A4">
        <w:rPr>
          <w:rFonts w:asciiTheme="majorBidi" w:hAnsiTheme="majorBidi" w:cstheme="majorBidi"/>
        </w:rPr>
        <w:t xml:space="preserve">. </w:t>
      </w:r>
    </w:p>
  </w:footnote>
  <w:footnote w:id="143">
    <w:p w14:paraId="51CCFAA0" w14:textId="54393F0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Dorothy S. Lund &amp; Adrianna Robertson, </w:t>
      </w:r>
      <w:r w:rsidRPr="003170A4">
        <w:rPr>
          <w:rFonts w:asciiTheme="majorBidi" w:hAnsiTheme="majorBidi" w:cstheme="majorBidi"/>
          <w:i/>
          <w:iCs/>
        </w:rPr>
        <w:t>Giant Asset Managers, the Big Three, and Index Investing</w:t>
      </w:r>
      <w:r w:rsidRPr="003170A4">
        <w:rPr>
          <w:rFonts w:asciiTheme="majorBidi" w:hAnsiTheme="majorBidi" w:cstheme="majorBidi"/>
        </w:rPr>
        <w:t xml:space="preserve">, </w:t>
      </w:r>
      <w:r w:rsidRPr="003170A4">
        <w:rPr>
          <w:rFonts w:asciiTheme="majorBidi" w:hAnsiTheme="majorBidi" w:cstheme="majorBidi"/>
          <w:smallCaps/>
        </w:rPr>
        <w:t>USC Gould Center for Law and Social Science</w:t>
      </w:r>
      <w:r w:rsidRPr="003170A4">
        <w:rPr>
          <w:rFonts w:asciiTheme="majorBidi" w:hAnsiTheme="majorBidi" w:cstheme="majorBidi"/>
        </w:rPr>
        <w:t xml:space="preserve"> (2023); Alon Brav, Dorothy S. Lund &amp; Lin Zhao, </w:t>
      </w:r>
      <w:r w:rsidRPr="003170A4">
        <w:rPr>
          <w:rFonts w:asciiTheme="majorBidi" w:hAnsiTheme="majorBidi" w:cstheme="majorBidi"/>
          <w:i/>
          <w:iCs/>
        </w:rPr>
        <w:t>Flows, Financing Decisions, and Institutional Ownership of the U.S. Equity Market</w:t>
      </w:r>
      <w:r w:rsidRPr="003170A4">
        <w:rPr>
          <w:rFonts w:asciiTheme="majorBidi" w:hAnsiTheme="majorBidi" w:cstheme="majorBidi"/>
        </w:rPr>
        <w:t xml:space="preserve">, </w:t>
      </w:r>
      <w:r w:rsidRPr="003170A4">
        <w:rPr>
          <w:rFonts w:asciiTheme="majorBidi" w:hAnsiTheme="majorBidi" w:cstheme="majorBidi"/>
          <w:smallCaps/>
        </w:rPr>
        <w:t>European Corp. Gov. Inst.</w:t>
      </w:r>
      <w:r w:rsidRPr="003170A4">
        <w:rPr>
          <w:rFonts w:asciiTheme="majorBidi" w:hAnsiTheme="majorBidi" w:cstheme="majorBidi"/>
        </w:rPr>
        <w:t xml:space="preserve"> </w:t>
      </w:r>
      <w:r w:rsidRPr="003170A4">
        <w:rPr>
          <w:rFonts w:asciiTheme="majorBidi" w:hAnsiTheme="majorBidi" w:cstheme="majorBidi"/>
          <w:smallCaps/>
        </w:rPr>
        <w:t xml:space="preserve">Working Paper Series in Law </w:t>
      </w:r>
      <w:r w:rsidRPr="003170A4">
        <w:rPr>
          <w:rFonts w:asciiTheme="majorBidi" w:hAnsiTheme="majorBidi" w:cstheme="majorBidi"/>
        </w:rPr>
        <w:t>(2024).</w:t>
      </w:r>
    </w:p>
  </w:footnote>
  <w:footnote w:id="144">
    <w:p w14:paraId="10908643" w14:textId="126636B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Goshen, </w:t>
      </w:r>
      <w:r w:rsidRPr="003170A4">
        <w:rPr>
          <w:rFonts w:asciiTheme="majorBidi" w:hAnsiTheme="majorBidi" w:cstheme="majorBidi"/>
          <w:i/>
          <w:iCs/>
        </w:rPr>
        <w:t>supra</w:t>
      </w:r>
      <w:r w:rsidRPr="003170A4">
        <w:rPr>
          <w:rFonts w:asciiTheme="majorBidi" w:hAnsiTheme="majorBidi" w:cstheme="majorBidi"/>
        </w:rPr>
        <w:t xml:space="preserve"> note 19. </w:t>
      </w:r>
    </w:p>
  </w:footnote>
  <w:footnote w:id="145">
    <w:p w14:paraId="1DC37B63" w14:textId="5ACE69C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Baker, et al, </w:t>
      </w:r>
      <w:r w:rsidRPr="003170A4">
        <w:rPr>
          <w:rFonts w:asciiTheme="majorBidi" w:hAnsiTheme="majorBidi" w:cstheme="majorBidi"/>
          <w:i/>
          <w:iCs/>
        </w:rPr>
        <w:t>supra</w:t>
      </w:r>
      <w:r w:rsidRPr="003170A4">
        <w:rPr>
          <w:rFonts w:asciiTheme="majorBidi" w:hAnsiTheme="majorBidi" w:cstheme="majorBidi"/>
        </w:rPr>
        <w:t xml:space="preserve"> note </w:t>
      </w:r>
      <w:r w:rsidRPr="003170A4">
        <w:rPr>
          <w:rFonts w:asciiTheme="majorBidi" w:hAnsiTheme="majorBidi" w:cstheme="majorBidi"/>
        </w:rPr>
        <w:fldChar w:fldCharType="begin"/>
      </w:r>
      <w:r w:rsidRPr="003170A4">
        <w:rPr>
          <w:rFonts w:asciiTheme="majorBidi" w:hAnsiTheme="majorBidi" w:cstheme="majorBidi"/>
        </w:rPr>
        <w:instrText xml:space="preserve"> NOTEREF _Ref181870665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31</w:t>
      </w:r>
      <w:r w:rsidRPr="003170A4">
        <w:rPr>
          <w:rFonts w:asciiTheme="majorBidi" w:hAnsiTheme="majorBidi" w:cstheme="majorBidi"/>
        </w:rPr>
        <w:fldChar w:fldCharType="end"/>
      </w:r>
      <w:r w:rsidRPr="003170A4">
        <w:rPr>
          <w:rFonts w:asciiTheme="majorBidi" w:hAnsiTheme="majorBidi" w:cstheme="majorBidi"/>
        </w:rPr>
        <w:t xml:space="preserve">, at 7 (“As it is currently practiced in business law courtrooms and boardrooms, modern valuation practice is dominated by three alternative methodologies: Comparable companies (CC), comparable transactions (CT), and discounted cash flow (DCF) analyses.”). </w:t>
      </w:r>
    </w:p>
  </w:footnote>
  <w:footnote w:id="146">
    <w:p w14:paraId="0D502E3E" w14:textId="3F8B72D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e.g.</w:t>
      </w:r>
      <w:r w:rsidRPr="003170A4">
        <w:rPr>
          <w:rFonts w:asciiTheme="majorBidi" w:hAnsiTheme="majorBidi" w:cstheme="majorBidi"/>
        </w:rPr>
        <w:t xml:space="preserve">, Jay W. </w:t>
      </w:r>
      <w:proofErr w:type="spellStart"/>
      <w:r w:rsidRPr="003170A4">
        <w:rPr>
          <w:rFonts w:asciiTheme="majorBidi" w:hAnsiTheme="majorBidi" w:cstheme="majorBidi"/>
        </w:rPr>
        <w:t>Eisenhofer</w:t>
      </w:r>
      <w:proofErr w:type="spellEnd"/>
      <w:r w:rsidRPr="003170A4">
        <w:rPr>
          <w:rFonts w:asciiTheme="majorBidi" w:hAnsiTheme="majorBidi" w:cstheme="majorBidi"/>
        </w:rPr>
        <w:t xml:space="preserve"> &amp; John L. Reed, </w:t>
      </w:r>
      <w:r w:rsidRPr="003170A4">
        <w:rPr>
          <w:rFonts w:asciiTheme="majorBidi" w:hAnsiTheme="majorBidi" w:cstheme="majorBidi"/>
          <w:i/>
          <w:iCs/>
        </w:rPr>
        <w:t>Valuation Litigation</w:t>
      </w:r>
      <w:r w:rsidRPr="003170A4">
        <w:rPr>
          <w:rFonts w:asciiTheme="majorBidi" w:hAnsiTheme="majorBidi" w:cstheme="majorBidi"/>
        </w:rPr>
        <w:t xml:space="preserve">, 22 </w:t>
      </w:r>
      <w:r w:rsidRPr="003170A4">
        <w:rPr>
          <w:rFonts w:asciiTheme="majorBidi" w:hAnsiTheme="majorBidi" w:cstheme="majorBidi"/>
          <w:smallCaps/>
        </w:rPr>
        <w:t>Del. J. Corp. L.</w:t>
      </w:r>
      <w:r w:rsidRPr="003170A4">
        <w:rPr>
          <w:rFonts w:asciiTheme="majorBidi" w:hAnsiTheme="majorBidi" w:cstheme="majorBidi"/>
        </w:rPr>
        <w:t xml:space="preserve"> 37, 112-13 (</w:t>
      </w:r>
      <w:proofErr w:type="gramStart"/>
      <w:r w:rsidRPr="003170A4">
        <w:rPr>
          <w:rFonts w:asciiTheme="majorBidi" w:hAnsiTheme="majorBidi" w:cstheme="majorBidi"/>
        </w:rPr>
        <w:t>1997)(</w:t>
      </w:r>
      <w:proofErr w:type="gramEnd"/>
      <w:r w:rsidRPr="003170A4">
        <w:rPr>
          <w:rFonts w:asciiTheme="majorBidi" w:hAnsiTheme="majorBidi" w:cstheme="majorBidi"/>
        </w:rPr>
        <w:t xml:space="preserve">describing DCF methodology and its use in calculating cashflows). </w:t>
      </w:r>
    </w:p>
  </w:footnote>
  <w:footnote w:id="147">
    <w:p w14:paraId="580ABAE4" w14:textId="5CA1A32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J.B. Heaton, </w:t>
      </w:r>
      <w:r w:rsidRPr="003170A4">
        <w:rPr>
          <w:rFonts w:asciiTheme="majorBidi" w:hAnsiTheme="majorBidi" w:cstheme="majorBidi"/>
          <w:i/>
          <w:iCs/>
        </w:rPr>
        <w:t>The DCF Valuation methodology Is Untestable</w:t>
      </w:r>
      <w:r w:rsidRPr="003170A4">
        <w:rPr>
          <w:rFonts w:asciiTheme="majorBidi" w:hAnsiTheme="majorBidi" w:cstheme="majorBidi"/>
        </w:rPr>
        <w:t xml:space="preserve">, </w:t>
      </w:r>
      <w:r w:rsidRPr="003170A4">
        <w:rPr>
          <w:rFonts w:asciiTheme="majorBidi" w:hAnsiTheme="majorBidi" w:cstheme="majorBidi"/>
          <w:smallCaps/>
        </w:rPr>
        <w:t>Harv. L. Sch. F. Corp. Gov.</w:t>
      </w:r>
      <w:r w:rsidRPr="003170A4">
        <w:rPr>
          <w:rFonts w:asciiTheme="majorBidi" w:hAnsiTheme="majorBidi" w:cstheme="majorBidi"/>
        </w:rPr>
        <w:t xml:space="preserve"> (Apr. 20, 2022).</w:t>
      </w:r>
    </w:p>
  </w:footnote>
  <w:footnote w:id="148">
    <w:p w14:paraId="2EB0A9C6" w14:textId="0421C51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Note that valuing a company under the DCF methodology might be indirectly related to the company’s existing management to the extent that this management and its business plan affect projections of future cashflows. </w:t>
      </w:r>
      <w:r w:rsidRPr="003170A4">
        <w:rPr>
          <w:rFonts w:asciiTheme="majorBidi" w:hAnsiTheme="majorBidi" w:cstheme="majorBidi"/>
          <w:i/>
          <w:iCs/>
        </w:rPr>
        <w:t>See</w:t>
      </w:r>
      <w:r w:rsidRPr="003170A4">
        <w:rPr>
          <w:rFonts w:asciiTheme="majorBidi" w:hAnsiTheme="majorBidi" w:cstheme="majorBidi"/>
        </w:rPr>
        <w:t xml:space="preserve"> Assaf Hamdani &amp; Kobi Kastiel, </w:t>
      </w:r>
      <w:r w:rsidRPr="003170A4">
        <w:rPr>
          <w:rFonts w:asciiTheme="majorBidi" w:hAnsiTheme="majorBidi" w:cstheme="majorBidi"/>
          <w:i/>
          <w:iCs/>
        </w:rPr>
        <w:t>Superstar CEOs and Corporate Law</w:t>
      </w:r>
      <w:r w:rsidRPr="003170A4">
        <w:rPr>
          <w:rFonts w:asciiTheme="majorBidi" w:hAnsiTheme="majorBidi" w:cstheme="majorBidi"/>
        </w:rPr>
        <w:t xml:space="preserve">, </w:t>
      </w:r>
      <w:r w:rsidRPr="003170A4">
        <w:rPr>
          <w:rFonts w:asciiTheme="majorBidi" w:hAnsiTheme="majorBidi" w:cstheme="majorBidi"/>
          <w:smallCaps/>
        </w:rPr>
        <w:t>100 WASH. U. L. REV. 1353, 1402-1407 (2023)</w:t>
      </w:r>
      <w:r w:rsidRPr="003170A4">
        <w:rPr>
          <w:rFonts w:asciiTheme="majorBidi" w:hAnsiTheme="majorBidi" w:cstheme="majorBidi"/>
        </w:rPr>
        <w:t>.</w:t>
      </w:r>
    </w:p>
  </w:footnote>
  <w:footnote w:id="149">
    <w:p w14:paraId="141E498A" w14:textId="65FD9B3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Baker, et al, </w:t>
      </w:r>
      <w:r w:rsidRPr="003170A4">
        <w:rPr>
          <w:rFonts w:asciiTheme="majorBidi" w:hAnsiTheme="majorBidi" w:cstheme="majorBidi"/>
          <w:i/>
          <w:iCs/>
        </w:rPr>
        <w:t>supra</w:t>
      </w:r>
      <w:r w:rsidRPr="003170A4">
        <w:rPr>
          <w:rFonts w:asciiTheme="majorBidi" w:hAnsiTheme="majorBidi" w:cstheme="majorBidi"/>
        </w:rPr>
        <w:t xml:space="preserve"> note </w:t>
      </w:r>
      <w:r w:rsidRPr="003170A4">
        <w:rPr>
          <w:rFonts w:asciiTheme="majorBidi" w:hAnsiTheme="majorBidi" w:cstheme="majorBidi"/>
        </w:rPr>
        <w:fldChar w:fldCharType="begin"/>
      </w:r>
      <w:r w:rsidRPr="003170A4">
        <w:rPr>
          <w:rFonts w:asciiTheme="majorBidi" w:hAnsiTheme="majorBidi" w:cstheme="majorBidi"/>
        </w:rPr>
        <w:instrText xml:space="preserve"> NOTEREF _Ref181870665 \h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31</w:t>
      </w:r>
      <w:r w:rsidRPr="003170A4">
        <w:rPr>
          <w:rFonts w:asciiTheme="majorBidi" w:hAnsiTheme="majorBidi" w:cstheme="majorBidi"/>
        </w:rPr>
        <w:fldChar w:fldCharType="end"/>
      </w:r>
      <w:r w:rsidRPr="003170A4">
        <w:rPr>
          <w:rFonts w:asciiTheme="majorBidi" w:hAnsiTheme="majorBidi" w:cstheme="majorBidi"/>
        </w:rPr>
        <w:t>.</w:t>
      </w:r>
    </w:p>
  </w:footnote>
  <w:footnote w:id="150">
    <w:p w14:paraId="4A6DEED1" w14:textId="2B7CF53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Goshen, </w:t>
      </w:r>
      <w:r w:rsidRPr="003170A4">
        <w:rPr>
          <w:rFonts w:asciiTheme="majorBidi" w:hAnsiTheme="majorBidi" w:cstheme="majorBidi"/>
          <w:i/>
          <w:iCs/>
        </w:rPr>
        <w:t>supra</w:t>
      </w:r>
      <w:r w:rsidRPr="003170A4">
        <w:rPr>
          <w:rFonts w:asciiTheme="majorBidi" w:hAnsiTheme="majorBidi" w:cstheme="majorBidi"/>
        </w:rPr>
        <w:t xml:space="preserve"> note 21, at 967. </w:t>
      </w:r>
    </w:p>
  </w:footnote>
  <w:footnote w:id="151">
    <w:p w14:paraId="2E3E6BE3" w14:textId="18FF53F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Goshen, </w:t>
      </w:r>
      <w:r w:rsidRPr="003170A4">
        <w:rPr>
          <w:rFonts w:asciiTheme="majorBidi" w:hAnsiTheme="majorBidi" w:cstheme="majorBidi"/>
          <w:i/>
          <w:iCs/>
        </w:rPr>
        <w:t>supra</w:t>
      </w:r>
      <w:r w:rsidRPr="003170A4">
        <w:rPr>
          <w:rFonts w:asciiTheme="majorBidi" w:hAnsiTheme="majorBidi" w:cstheme="majorBidi"/>
        </w:rPr>
        <w:t xml:space="preserve"> note 19, at 567.</w:t>
      </w:r>
    </w:p>
  </w:footnote>
  <w:footnote w:id="152">
    <w:p w14:paraId="2BBDB690" w14:textId="1CE82AB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Goshen, </w:t>
      </w:r>
      <w:r w:rsidRPr="003170A4">
        <w:rPr>
          <w:rFonts w:asciiTheme="majorBidi" w:hAnsiTheme="majorBidi" w:cstheme="majorBidi"/>
          <w:i/>
          <w:iCs/>
        </w:rPr>
        <w:t>supra</w:t>
      </w:r>
      <w:r w:rsidRPr="003170A4">
        <w:rPr>
          <w:rFonts w:asciiTheme="majorBidi" w:hAnsiTheme="majorBidi" w:cstheme="majorBidi"/>
        </w:rPr>
        <w:t xml:space="preserve"> note 21, at 968.</w:t>
      </w:r>
    </w:p>
  </w:footnote>
  <w:footnote w:id="153">
    <w:p w14:paraId="061C33F5" w14:textId="301CC7AF" w:rsidR="00B54C7C" w:rsidRPr="003170A4" w:rsidRDefault="00B54C7C" w:rsidP="00EC38CC">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To be sure, under the DCF method, the pre-transaction value of the company depends on the projected income of the company, which in turn may depend on those parts of the controller vision that have been already implemented into the company’s business. </w:t>
      </w:r>
      <w:r w:rsidRPr="003170A4">
        <w:rPr>
          <w:rFonts w:asciiTheme="majorBidi" w:hAnsiTheme="majorBidi" w:cstheme="majorBidi"/>
          <w:i/>
          <w:iCs/>
        </w:rPr>
        <w:t xml:space="preserve">See </w:t>
      </w:r>
      <w:r w:rsidRPr="003170A4">
        <w:rPr>
          <w:rFonts w:asciiTheme="majorBidi" w:hAnsiTheme="majorBidi" w:cstheme="majorBidi"/>
        </w:rPr>
        <w:t xml:space="preserve">Hamdani &amp; </w:t>
      </w:r>
      <w:proofErr w:type="spellStart"/>
      <w:r w:rsidRPr="003170A4">
        <w:rPr>
          <w:rFonts w:asciiTheme="majorBidi" w:hAnsiTheme="majorBidi" w:cstheme="majorBidi"/>
        </w:rPr>
        <w:t>Kastiel</w:t>
      </w:r>
      <w:proofErr w:type="spellEnd"/>
      <w:r w:rsidRPr="003170A4">
        <w:rPr>
          <w:rFonts w:asciiTheme="majorBidi" w:hAnsiTheme="majorBidi" w:cstheme="majorBidi"/>
          <w:i/>
          <w:iCs/>
        </w:rPr>
        <w:t>, supra</w:t>
      </w:r>
      <w:r w:rsidRPr="003170A4">
        <w:rPr>
          <w:rFonts w:asciiTheme="majorBidi" w:hAnsiTheme="majorBidi" w:cstheme="majorBidi"/>
        </w:rPr>
        <w:t xml:space="preserve"> note </w:t>
      </w:r>
      <w:r w:rsidRPr="003170A4">
        <w:rPr>
          <w:rFonts w:asciiTheme="majorBidi" w:hAnsiTheme="majorBidi" w:cstheme="majorBidi"/>
        </w:rPr>
        <w:fldChar w:fldCharType="begin"/>
      </w:r>
      <w:r w:rsidRPr="003170A4">
        <w:rPr>
          <w:rFonts w:asciiTheme="majorBidi" w:hAnsiTheme="majorBidi" w:cstheme="majorBidi"/>
        </w:rPr>
        <w:instrText xml:space="preserve"> NOTEREF _Ref184508371 \h </w:instrText>
      </w:r>
      <w:r w:rsidR="003170A4" w:rsidRPr="003170A4">
        <w:rPr>
          <w:rFonts w:asciiTheme="majorBidi" w:hAnsiTheme="majorBidi" w:cstheme="majorBidi"/>
        </w:rPr>
        <w:instrText xml:space="preserve"> \* MERGEFORMAT </w:instrText>
      </w:r>
      <w:r w:rsidRPr="003170A4">
        <w:rPr>
          <w:rFonts w:asciiTheme="majorBidi" w:hAnsiTheme="majorBidi" w:cstheme="majorBidi"/>
        </w:rPr>
      </w:r>
      <w:r w:rsidRPr="003170A4">
        <w:rPr>
          <w:rFonts w:asciiTheme="majorBidi" w:hAnsiTheme="majorBidi" w:cstheme="majorBidi"/>
        </w:rPr>
        <w:fldChar w:fldCharType="separate"/>
      </w:r>
      <w:r w:rsidR="0083714B">
        <w:rPr>
          <w:rFonts w:asciiTheme="majorBidi" w:hAnsiTheme="majorBidi" w:cstheme="majorBidi"/>
        </w:rPr>
        <w:t>144</w:t>
      </w:r>
      <w:r w:rsidRPr="003170A4">
        <w:rPr>
          <w:rFonts w:asciiTheme="majorBidi" w:hAnsiTheme="majorBidi" w:cstheme="majorBidi"/>
        </w:rPr>
        <w:fldChar w:fldCharType="end"/>
      </w:r>
      <w:r w:rsidRPr="003170A4">
        <w:rPr>
          <w:rFonts w:asciiTheme="majorBidi" w:hAnsiTheme="majorBidi" w:cstheme="majorBidi"/>
        </w:rPr>
        <w:t>.</w:t>
      </w:r>
    </w:p>
  </w:footnote>
  <w:footnote w:id="154">
    <w:p w14:paraId="0AD59165" w14:textId="43D56EA1" w:rsidR="003170A4" w:rsidRPr="003170A4" w:rsidRDefault="003170A4" w:rsidP="003170A4">
      <w:pPr>
        <w:pStyle w:val="FootnoteText"/>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In a similar vein, Alessio M. </w:t>
      </w:r>
      <w:proofErr w:type="spellStart"/>
      <w:r w:rsidRPr="003170A4">
        <w:rPr>
          <w:rFonts w:asciiTheme="majorBidi" w:hAnsiTheme="majorBidi" w:cstheme="majorBidi"/>
        </w:rPr>
        <w:t>Pacces</w:t>
      </w:r>
      <w:proofErr w:type="spellEnd"/>
      <w:r w:rsidRPr="003170A4">
        <w:rPr>
          <w:rFonts w:asciiTheme="majorBidi" w:hAnsiTheme="majorBidi" w:cstheme="majorBidi"/>
        </w:rPr>
        <w:t xml:space="preserve">, </w:t>
      </w:r>
      <w:r w:rsidRPr="003170A4">
        <w:rPr>
          <w:rFonts w:asciiTheme="majorBidi" w:hAnsiTheme="majorBidi" w:cstheme="majorBidi"/>
          <w:i/>
          <w:iCs/>
        </w:rPr>
        <w:t>Procedural and Substantive Review of Related Party Transactions: The Case for Non-Controlling Shareholder-Dependent Directors</w:t>
      </w:r>
      <w:r w:rsidRPr="003170A4">
        <w:rPr>
          <w:rFonts w:asciiTheme="majorBidi" w:hAnsiTheme="majorBidi" w:cstheme="majorBidi"/>
        </w:rPr>
        <w:t xml:space="preserve">, in </w:t>
      </w:r>
      <w:r w:rsidRPr="003170A4">
        <w:rPr>
          <w:rFonts w:asciiTheme="majorBidi" w:hAnsiTheme="majorBidi" w:cstheme="majorBidi"/>
          <w:smallCaps/>
        </w:rPr>
        <w:t>The Law and Finance of Related Party Transactions 181</w:t>
      </w:r>
      <w:r w:rsidRPr="003170A4">
        <w:rPr>
          <w:rFonts w:asciiTheme="majorBidi" w:hAnsiTheme="majorBidi" w:cstheme="majorBidi"/>
        </w:rPr>
        <w:t xml:space="preserve"> (Luca Enriques &amp; Tobias H. </w:t>
      </w:r>
      <w:proofErr w:type="spellStart"/>
      <w:r w:rsidRPr="003170A4">
        <w:rPr>
          <w:rFonts w:asciiTheme="majorBidi" w:hAnsiTheme="majorBidi" w:cstheme="majorBidi"/>
        </w:rPr>
        <w:t>Tröger</w:t>
      </w:r>
      <w:proofErr w:type="spellEnd"/>
      <w:r w:rsidRPr="003170A4">
        <w:rPr>
          <w:rFonts w:asciiTheme="majorBidi" w:hAnsiTheme="majorBidi" w:cstheme="majorBidi"/>
        </w:rPr>
        <w:t xml:space="preserve"> eds., 2019), argued that related-party transactions motivated by relationship-specific investments cannot be meaningfully compared with a transaction at arm’s length</w:t>
      </w:r>
      <w:r>
        <w:rPr>
          <w:rFonts w:asciiTheme="majorBidi" w:hAnsiTheme="majorBidi" w:cstheme="majorBidi"/>
        </w:rPr>
        <w:t xml:space="preserve">, thereby </w:t>
      </w:r>
      <w:r w:rsidRPr="003170A4">
        <w:rPr>
          <w:rFonts w:asciiTheme="majorBidi" w:hAnsiTheme="majorBidi" w:cstheme="majorBidi"/>
        </w:rPr>
        <w:t>undermin</w:t>
      </w:r>
      <w:r>
        <w:rPr>
          <w:rFonts w:asciiTheme="majorBidi" w:hAnsiTheme="majorBidi" w:cstheme="majorBidi"/>
        </w:rPr>
        <w:t>ing</w:t>
      </w:r>
      <w:r w:rsidRPr="003170A4">
        <w:rPr>
          <w:rFonts w:asciiTheme="majorBidi" w:hAnsiTheme="majorBidi" w:cstheme="majorBidi"/>
        </w:rPr>
        <w:t xml:space="preserve"> an entire fairness standard of review.</w:t>
      </w:r>
    </w:p>
  </w:footnote>
  <w:footnote w:id="155">
    <w:p w14:paraId="1EAD8267" w14:textId="05D362D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Simeon </w:t>
      </w:r>
      <w:proofErr w:type="spellStart"/>
      <w:r w:rsidRPr="003170A4">
        <w:rPr>
          <w:rFonts w:asciiTheme="majorBidi" w:hAnsiTheme="majorBidi" w:cstheme="majorBidi"/>
        </w:rPr>
        <w:t>Djankov</w:t>
      </w:r>
      <w:proofErr w:type="spellEnd"/>
      <w:r w:rsidRPr="003170A4">
        <w:rPr>
          <w:rFonts w:asciiTheme="majorBidi" w:hAnsiTheme="majorBidi" w:cstheme="majorBidi"/>
        </w:rPr>
        <w:t xml:space="preserve">, Rafael La Porta, Florencio Lopez-de-Silanes &amp; Andrei Shleifer, </w:t>
      </w:r>
      <w:r w:rsidRPr="003170A4">
        <w:rPr>
          <w:rFonts w:asciiTheme="majorBidi" w:hAnsiTheme="majorBidi" w:cstheme="majorBidi"/>
          <w:i/>
          <w:iCs/>
        </w:rPr>
        <w:t>The Law and Economics of Self-Dealing</w:t>
      </w:r>
      <w:r w:rsidRPr="003170A4">
        <w:rPr>
          <w:rFonts w:asciiTheme="majorBidi" w:hAnsiTheme="majorBidi" w:cstheme="majorBidi"/>
        </w:rPr>
        <w:t>, 88 J</w:t>
      </w:r>
      <w:r w:rsidRPr="003170A4">
        <w:rPr>
          <w:rFonts w:asciiTheme="majorBidi" w:hAnsiTheme="majorBidi" w:cstheme="majorBidi"/>
          <w:smallCaps/>
        </w:rPr>
        <w:t>. Fin. Econ.</w:t>
      </w:r>
      <w:r w:rsidRPr="003170A4">
        <w:rPr>
          <w:rFonts w:asciiTheme="majorBidi" w:hAnsiTheme="majorBidi" w:cstheme="majorBidi"/>
        </w:rPr>
        <w:t xml:space="preserve"> 430, 430–31 (2008) (describing the increasing emphasis of academics on corporate self-dealing over the last twenty years); Ronald J. Gilson &amp; Alan Schwartz, </w:t>
      </w:r>
      <w:r w:rsidRPr="003170A4">
        <w:rPr>
          <w:rFonts w:asciiTheme="majorBidi" w:hAnsiTheme="majorBidi" w:cstheme="majorBidi"/>
          <w:i/>
          <w:iCs/>
        </w:rPr>
        <w:t>Constraints on Private Benefits of Control: Ex Ante Control Mechanisms Versus Ex Post Transaction Review</w:t>
      </w:r>
      <w:r w:rsidRPr="003170A4">
        <w:rPr>
          <w:rFonts w:asciiTheme="majorBidi" w:hAnsiTheme="majorBidi" w:cstheme="majorBidi"/>
        </w:rPr>
        <w:t>, 169 J.</w:t>
      </w:r>
      <w:r w:rsidRPr="003170A4">
        <w:rPr>
          <w:rFonts w:asciiTheme="majorBidi" w:hAnsiTheme="majorBidi" w:cstheme="majorBidi"/>
          <w:smallCaps/>
        </w:rPr>
        <w:t xml:space="preserve"> Institutional &amp; Theoretical Econ. </w:t>
      </w:r>
      <w:r w:rsidRPr="003170A4">
        <w:rPr>
          <w:rFonts w:asciiTheme="majorBidi" w:hAnsiTheme="majorBidi" w:cstheme="majorBidi"/>
        </w:rPr>
        <w:t>160, 180–81 (2013) (arguing that ex post judicial review of transactions with controlling shareholders or their affiliates is superior to ex ante limits on dual-class and other leveraged control structures).</w:t>
      </w:r>
    </w:p>
  </w:footnote>
  <w:footnote w:id="156">
    <w:p w14:paraId="4F8E8484" w14:textId="685CFEE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Weinberger</w:t>
      </w:r>
      <w:r w:rsidRPr="003170A4">
        <w:rPr>
          <w:rFonts w:asciiTheme="majorBidi" w:hAnsiTheme="majorBidi" w:cstheme="majorBidi"/>
        </w:rPr>
        <w:t>, 457 A.2d at 703, 711 (Del. 1983) (describing how transaction involving potential self-dealing concerns invoke the entire fairness standard).</w:t>
      </w:r>
    </w:p>
  </w:footnote>
  <w:footnote w:id="157">
    <w:p w14:paraId="5629860D" w14:textId="38EB00A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494. </w:t>
      </w:r>
    </w:p>
  </w:footnote>
  <w:footnote w:id="158">
    <w:p w14:paraId="354E4E24" w14:textId="4F68CEE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at 486.</w:t>
      </w:r>
    </w:p>
  </w:footnote>
  <w:footnote w:id="159">
    <w:p w14:paraId="1A2E428F" w14:textId="01860D51"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at 453-454.</w:t>
      </w:r>
    </w:p>
  </w:footnote>
  <w:footnote w:id="160">
    <w:p w14:paraId="41E7859E" w14:textId="47B3E8A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 at 543.</w:t>
      </w:r>
    </w:p>
  </w:footnote>
  <w:footnote w:id="161">
    <w:p w14:paraId="6FB64EFA"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Karl West, </w:t>
      </w:r>
      <w:r w:rsidRPr="003170A4">
        <w:rPr>
          <w:rFonts w:asciiTheme="majorBidi" w:hAnsiTheme="majorBidi" w:cstheme="majorBidi"/>
          <w:i/>
          <w:iCs/>
        </w:rPr>
        <w:t>Tesla Boss Elon Musk Pursues his Most Unlikely Goal Yet: A $55bn Bonus</w:t>
      </w:r>
      <w:r w:rsidRPr="003170A4">
        <w:rPr>
          <w:rFonts w:asciiTheme="majorBidi" w:hAnsiTheme="majorBidi" w:cstheme="majorBidi"/>
        </w:rPr>
        <w:t xml:space="preserve">, </w:t>
      </w:r>
      <w:r w:rsidRPr="003170A4">
        <w:rPr>
          <w:rFonts w:asciiTheme="majorBidi" w:hAnsiTheme="majorBidi" w:cstheme="majorBidi"/>
          <w:smallCaps/>
        </w:rPr>
        <w:t>The Guardian</w:t>
      </w:r>
      <w:r w:rsidRPr="003170A4">
        <w:rPr>
          <w:rFonts w:asciiTheme="majorBidi" w:hAnsiTheme="majorBidi" w:cstheme="majorBidi"/>
        </w:rPr>
        <w:t xml:space="preserve"> (Jan. 26, 2018). </w:t>
      </w:r>
    </w:p>
  </w:footnote>
  <w:footnote w:id="162">
    <w:p w14:paraId="0E2C1FA7" w14:textId="075302F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Note that this price has been adjusted to account for stock splits.</w:t>
      </w:r>
    </w:p>
  </w:footnote>
  <w:footnote w:id="163">
    <w:p w14:paraId="7BB7C77C" w14:textId="4A5C4F7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Market prices reflect investors' expectations about a corporation's future value.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generally</w:t>
      </w:r>
      <w:r w:rsidRPr="003170A4">
        <w:rPr>
          <w:rFonts w:asciiTheme="majorBidi" w:hAnsiTheme="majorBidi" w:cstheme="majorBidi"/>
        </w:rPr>
        <w:t xml:space="preserve"> </w:t>
      </w:r>
      <w:r w:rsidRPr="003170A4">
        <w:rPr>
          <w:rFonts w:asciiTheme="majorBidi" w:hAnsiTheme="majorBidi" w:cstheme="majorBidi"/>
          <w:smallCaps/>
        </w:rPr>
        <w:t>Malkiel, Burton G., A Random Walk Down Wall Street</w:t>
      </w:r>
      <w:r w:rsidRPr="003170A4">
        <w:rPr>
          <w:rFonts w:asciiTheme="majorBidi" w:hAnsiTheme="majorBidi" w:cstheme="majorBidi"/>
        </w:rPr>
        <w:t xml:space="preserve"> (New York:  W. W. Norton &amp; Co., 1973, 1st edition.) In this case, two factors shape these expectations: the likelihood of achieving the plan's goals and the probability of court approval. If investors doubt the goals' achievability, the stock price will likely remain stable. However, if the market believes these goals are attainable, the price should quickly rise to reflect the anticipated amazing future value. Similarly, if investors expect courts to cancel the plan before Musk can achieve the goals, thus removing his incentives, the stock price will not increase. Conversely, if the market anticipates court cancellation only after Musk has met the goals, the price should promptly rise to reflect the expected high future value.</w:t>
      </w:r>
    </w:p>
  </w:footnote>
  <w:footnote w:id="164">
    <w:p w14:paraId="3F9D0C1C" w14:textId="3C38388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Press Release, </w:t>
      </w:r>
      <w:r w:rsidRPr="003170A4">
        <w:rPr>
          <w:rFonts w:asciiTheme="majorBidi" w:hAnsiTheme="majorBidi" w:cstheme="majorBidi"/>
          <w:i/>
          <w:iCs/>
        </w:rPr>
        <w:t>Tesla Announces New Long-Term Performance Award for Elon Musk</w:t>
      </w:r>
      <w:r w:rsidRPr="003170A4">
        <w:rPr>
          <w:rFonts w:asciiTheme="majorBidi" w:hAnsiTheme="majorBidi" w:cstheme="majorBidi"/>
        </w:rPr>
        <w:t xml:space="preserve">, </w:t>
      </w:r>
      <w:r w:rsidRPr="003170A4">
        <w:rPr>
          <w:rFonts w:asciiTheme="majorBidi" w:hAnsiTheme="majorBidi" w:cstheme="majorBidi"/>
          <w:smallCaps/>
        </w:rPr>
        <w:t>Tesla Investor Relations</w:t>
      </w:r>
      <w:r w:rsidRPr="003170A4">
        <w:rPr>
          <w:rFonts w:asciiTheme="majorBidi" w:hAnsiTheme="majorBidi" w:cstheme="majorBidi"/>
        </w:rPr>
        <w:t xml:space="preserve"> (Jan. 23, 2018). </w:t>
      </w:r>
    </w:p>
  </w:footnote>
  <w:footnote w:id="165">
    <w:p w14:paraId="06E65210"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Jonathan Berr, </w:t>
      </w:r>
      <w:r w:rsidRPr="003170A4">
        <w:rPr>
          <w:rFonts w:asciiTheme="majorBidi" w:hAnsiTheme="majorBidi" w:cstheme="majorBidi"/>
          <w:i/>
          <w:iCs/>
        </w:rPr>
        <w:t>Elon Musk’s $2.6 Billion Pay Package Gets Tesla Shareholder Approval</w:t>
      </w:r>
      <w:r w:rsidRPr="003170A4">
        <w:rPr>
          <w:rFonts w:asciiTheme="majorBidi" w:hAnsiTheme="majorBidi" w:cstheme="majorBidi"/>
        </w:rPr>
        <w:t xml:space="preserve">, </w:t>
      </w:r>
      <w:r w:rsidRPr="003170A4">
        <w:rPr>
          <w:rFonts w:asciiTheme="majorBidi" w:hAnsiTheme="majorBidi" w:cstheme="majorBidi"/>
          <w:smallCaps/>
        </w:rPr>
        <w:t>CBS News:</w:t>
      </w:r>
      <w:r w:rsidRPr="003170A4">
        <w:rPr>
          <w:rFonts w:asciiTheme="majorBidi" w:hAnsiTheme="majorBidi" w:cstheme="majorBidi"/>
        </w:rPr>
        <w:t xml:space="preserve"> </w:t>
      </w:r>
      <w:proofErr w:type="spellStart"/>
      <w:r w:rsidRPr="003170A4">
        <w:rPr>
          <w:rFonts w:asciiTheme="majorBidi" w:hAnsiTheme="majorBidi" w:cstheme="majorBidi"/>
          <w:smallCaps/>
        </w:rPr>
        <w:t>Moneywatch</w:t>
      </w:r>
      <w:proofErr w:type="spellEnd"/>
      <w:r w:rsidRPr="003170A4">
        <w:rPr>
          <w:rFonts w:asciiTheme="majorBidi" w:hAnsiTheme="majorBidi" w:cstheme="majorBidi"/>
        </w:rPr>
        <w:t xml:space="preserve"> (Mar. 21, 2018). </w:t>
      </w:r>
    </w:p>
  </w:footnote>
  <w:footnote w:id="166">
    <w:p w14:paraId="4CE6D2A7"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Andrew Ross Sorkin, </w:t>
      </w:r>
      <w:r w:rsidRPr="003170A4">
        <w:rPr>
          <w:rFonts w:asciiTheme="majorBidi" w:hAnsiTheme="majorBidi" w:cstheme="majorBidi"/>
          <w:i/>
          <w:iCs/>
        </w:rPr>
        <w:t>Tesla’s Elon Musk May Have the Boldest Pay Plan in Corporate History</w:t>
      </w:r>
      <w:r w:rsidRPr="003170A4">
        <w:rPr>
          <w:rFonts w:asciiTheme="majorBidi" w:hAnsiTheme="majorBidi" w:cstheme="majorBidi"/>
        </w:rPr>
        <w:t xml:space="preserve">, N.Y. Times (Jan. 23, 2018). </w:t>
      </w:r>
    </w:p>
  </w:footnote>
  <w:footnote w:id="167">
    <w:p w14:paraId="4E2C3C44" w14:textId="4C3BEC8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168">
    <w:p w14:paraId="506CB38C" w14:textId="519895A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Tesla Posts Record $710m Net Loss as it Struggles to Produce Model 3 Cars</w:t>
      </w:r>
      <w:r w:rsidRPr="003170A4">
        <w:rPr>
          <w:rFonts w:asciiTheme="majorBidi" w:hAnsiTheme="majorBidi" w:cstheme="majorBidi"/>
        </w:rPr>
        <w:t xml:space="preserve">, </w:t>
      </w:r>
      <w:r w:rsidRPr="003170A4">
        <w:rPr>
          <w:rFonts w:asciiTheme="majorBidi" w:hAnsiTheme="majorBidi" w:cstheme="majorBidi"/>
          <w:smallCaps/>
        </w:rPr>
        <w:t>The Guardian</w:t>
      </w:r>
      <w:r w:rsidRPr="003170A4">
        <w:rPr>
          <w:rFonts w:asciiTheme="majorBidi" w:hAnsiTheme="majorBidi" w:cstheme="majorBidi"/>
        </w:rPr>
        <w:t xml:space="preserve"> (May 2, 2018), https://www.theguardian.com/technology/2018/may/02/tesla-loss-model-3-elon-musk. </w:t>
      </w:r>
    </w:p>
  </w:footnote>
  <w:footnote w:id="169">
    <w:p w14:paraId="2521AFB7" w14:textId="31EE0D6D"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487.  </w:t>
      </w:r>
    </w:p>
  </w:footnote>
  <w:footnote w:id="170">
    <w:p w14:paraId="7530DED8"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Tae Kim, </w:t>
      </w:r>
      <w:r w:rsidRPr="003170A4">
        <w:rPr>
          <w:rFonts w:asciiTheme="majorBidi" w:hAnsiTheme="majorBidi" w:cstheme="majorBidi"/>
          <w:i/>
          <w:iCs/>
        </w:rPr>
        <w:t>Einhorn on Tesla: ‘Like Lehman, We Think the Deception Is About to Catch Up’</w:t>
      </w:r>
      <w:r w:rsidRPr="003170A4">
        <w:rPr>
          <w:rFonts w:asciiTheme="majorBidi" w:hAnsiTheme="majorBidi" w:cstheme="majorBidi"/>
        </w:rPr>
        <w:t>, CNBC (Oct. 5, 2018, 12:26 PM EDT), https://www.cnbc.com/2018/10/05/einhorn-on-tesla-like-lehman-we-think-the-deception-is-about-to-catch-up-to-tsla.html [https://perma.cc/AM9N-3NGD].</w:t>
      </w:r>
    </w:p>
  </w:footnote>
  <w:footnote w:id="171">
    <w:p w14:paraId="6EE1EE44" w14:textId="6F0D667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Mike Guy, </w:t>
      </w:r>
      <w:r w:rsidRPr="003170A4">
        <w:rPr>
          <w:rFonts w:asciiTheme="majorBidi" w:hAnsiTheme="majorBidi" w:cstheme="majorBidi"/>
          <w:i/>
          <w:iCs/>
        </w:rPr>
        <w:t>Here’s Why Tesla Will Go Bankrupt in 2019</w:t>
      </w:r>
      <w:r w:rsidRPr="003170A4">
        <w:rPr>
          <w:rFonts w:asciiTheme="majorBidi" w:hAnsiTheme="majorBidi" w:cstheme="majorBidi"/>
        </w:rPr>
        <w:t xml:space="preserve">, </w:t>
      </w:r>
      <w:r w:rsidRPr="003170A4">
        <w:rPr>
          <w:rFonts w:asciiTheme="majorBidi" w:hAnsiTheme="majorBidi" w:cstheme="majorBidi"/>
          <w:smallCaps/>
        </w:rPr>
        <w:t xml:space="preserve">Drive </w:t>
      </w:r>
      <w:r w:rsidRPr="003170A4">
        <w:rPr>
          <w:rFonts w:asciiTheme="majorBidi" w:hAnsiTheme="majorBidi" w:cstheme="majorBidi"/>
        </w:rPr>
        <w:t>(Oct. 19, 2018), https://www.thedrive.com/tech/24261/elon-musk-and-10-billion-of-debt-why-tesla-will-go-bankrupt-in-2019 [https://perma.cc/TU3Y-QYMU].</w:t>
      </w:r>
    </w:p>
  </w:footnote>
  <w:footnote w:id="172">
    <w:p w14:paraId="6C7E92D3"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Sam </w:t>
      </w:r>
      <w:proofErr w:type="spellStart"/>
      <w:r w:rsidRPr="003170A4">
        <w:rPr>
          <w:rFonts w:asciiTheme="majorBidi" w:hAnsiTheme="majorBidi" w:cstheme="majorBidi"/>
        </w:rPr>
        <w:t>Abuelsamid</w:t>
      </w:r>
      <w:proofErr w:type="spellEnd"/>
      <w:r w:rsidRPr="003170A4">
        <w:rPr>
          <w:rFonts w:asciiTheme="majorBidi" w:hAnsiTheme="majorBidi" w:cstheme="majorBidi"/>
        </w:rPr>
        <w:t xml:space="preserve">, </w:t>
      </w:r>
      <w:r w:rsidRPr="003170A4">
        <w:rPr>
          <w:rFonts w:asciiTheme="majorBidi" w:hAnsiTheme="majorBidi" w:cstheme="majorBidi"/>
          <w:i/>
          <w:iCs/>
        </w:rPr>
        <w:t xml:space="preserve">Who Should Replace Elon Musk as Tesla </w:t>
      </w:r>
      <w:proofErr w:type="gramStart"/>
      <w:r w:rsidRPr="003170A4">
        <w:rPr>
          <w:rFonts w:asciiTheme="majorBidi" w:hAnsiTheme="majorBidi" w:cstheme="majorBidi"/>
          <w:i/>
          <w:iCs/>
        </w:rPr>
        <w:t>CEO?</w:t>
      </w:r>
      <w:r w:rsidRPr="003170A4">
        <w:rPr>
          <w:rFonts w:asciiTheme="majorBidi" w:hAnsiTheme="majorBidi" w:cstheme="majorBidi"/>
        </w:rPr>
        <w:t>,</w:t>
      </w:r>
      <w:proofErr w:type="gramEnd"/>
      <w:r w:rsidRPr="003170A4">
        <w:rPr>
          <w:rFonts w:asciiTheme="majorBidi" w:hAnsiTheme="majorBidi" w:cstheme="majorBidi"/>
        </w:rPr>
        <w:t xml:space="preserve"> </w:t>
      </w:r>
      <w:r w:rsidRPr="003170A4">
        <w:rPr>
          <w:rFonts w:asciiTheme="majorBidi" w:hAnsiTheme="majorBidi" w:cstheme="majorBidi"/>
          <w:smallCaps/>
        </w:rPr>
        <w:t>Forbes</w:t>
      </w:r>
      <w:r w:rsidRPr="003170A4">
        <w:rPr>
          <w:rFonts w:asciiTheme="majorBidi" w:hAnsiTheme="majorBidi" w:cstheme="majorBidi"/>
        </w:rPr>
        <w:t xml:space="preserve"> (Oct. 1, 2018, 8:00 AM EDT), https://www.forbes.com/sites/samabuelsamid/2018/10/01/who-should-replace-elon-musk-as-tesla-ceo [https://perma.cc/8UM2-3MZ9].</w:t>
      </w:r>
    </w:p>
  </w:footnote>
  <w:footnote w:id="173">
    <w:p w14:paraId="4ED386B0"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Paul A. Eisenstein, </w:t>
      </w:r>
      <w:r w:rsidRPr="003170A4">
        <w:rPr>
          <w:rFonts w:asciiTheme="majorBidi" w:hAnsiTheme="majorBidi" w:cstheme="majorBidi"/>
          <w:i/>
          <w:iCs/>
        </w:rPr>
        <w:t xml:space="preserve">Tesla Reported a Surprise Profit—But How Long Can CEO Elon Musk Stay </w:t>
      </w:r>
      <w:proofErr w:type="gramStart"/>
      <w:r w:rsidRPr="003170A4">
        <w:rPr>
          <w:rFonts w:asciiTheme="majorBidi" w:hAnsiTheme="majorBidi" w:cstheme="majorBidi"/>
          <w:i/>
          <w:iCs/>
        </w:rPr>
        <w:t>Ahead?</w:t>
      </w:r>
      <w:r w:rsidRPr="003170A4">
        <w:rPr>
          <w:rFonts w:asciiTheme="majorBidi" w:hAnsiTheme="majorBidi" w:cstheme="majorBidi"/>
        </w:rPr>
        <w:t>,</w:t>
      </w:r>
      <w:proofErr w:type="gramEnd"/>
      <w:r w:rsidRPr="003170A4">
        <w:rPr>
          <w:rFonts w:asciiTheme="majorBidi" w:hAnsiTheme="majorBidi" w:cstheme="majorBidi"/>
        </w:rPr>
        <w:t xml:space="preserve"> CNBC (Oct. 24, 2019, 11:12 AM EDT), https://www.nbcnews.com/business/autos/tesla-reported-surprise-profit-how-long-can-ceo-elon-musk-n1071296 [https://perma.cc/XD2V-TPMN].</w:t>
      </w:r>
    </w:p>
  </w:footnote>
  <w:footnote w:id="174">
    <w:p w14:paraId="23E2E648" w14:textId="3B6E875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Clifford, </w:t>
      </w:r>
      <w:r w:rsidRPr="003170A4">
        <w:rPr>
          <w:rFonts w:asciiTheme="majorBidi" w:hAnsiTheme="majorBidi" w:cstheme="majorBidi"/>
          <w:i/>
          <w:iCs/>
        </w:rPr>
        <w:t>supra</w:t>
      </w:r>
      <w:r w:rsidRPr="003170A4">
        <w:rPr>
          <w:rFonts w:asciiTheme="majorBidi" w:hAnsiTheme="majorBidi" w:cstheme="majorBidi"/>
        </w:rPr>
        <w:t xml:space="preserve"> note 11. </w:t>
      </w:r>
    </w:p>
  </w:footnote>
  <w:footnote w:id="175">
    <w:p w14:paraId="52A9118D" w14:textId="1A4B7AA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Mak, </w:t>
      </w:r>
      <w:r w:rsidRPr="003170A4">
        <w:rPr>
          <w:rFonts w:asciiTheme="majorBidi" w:hAnsiTheme="majorBidi" w:cstheme="majorBidi"/>
          <w:i/>
          <w:iCs/>
        </w:rPr>
        <w:t>supra</w:t>
      </w:r>
      <w:r w:rsidRPr="003170A4">
        <w:rPr>
          <w:rFonts w:asciiTheme="majorBidi" w:hAnsiTheme="majorBidi" w:cstheme="majorBidi"/>
        </w:rPr>
        <w:t xml:space="preserve"> note 8.</w:t>
      </w:r>
    </w:p>
  </w:footnote>
  <w:footnote w:id="176">
    <w:p w14:paraId="6141C90E" w14:textId="62A2467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Indeed, Telsa became more valuable than General Motors, Ford, Toyota, Mercedes-Benz, Volkswagen, Honda, Nissan and Hyundai combined.  Loveday, </w:t>
      </w:r>
      <w:r w:rsidRPr="003170A4">
        <w:rPr>
          <w:rFonts w:asciiTheme="majorBidi" w:hAnsiTheme="majorBidi" w:cstheme="majorBidi"/>
          <w:i/>
          <w:iCs/>
        </w:rPr>
        <w:t xml:space="preserve">supra </w:t>
      </w:r>
      <w:r w:rsidRPr="003170A4">
        <w:rPr>
          <w:rFonts w:asciiTheme="majorBidi" w:hAnsiTheme="majorBidi" w:cstheme="majorBidi"/>
        </w:rPr>
        <w:t xml:space="preserve">note 15. </w:t>
      </w:r>
    </w:p>
  </w:footnote>
  <w:footnote w:id="177">
    <w:p w14:paraId="0C24AC35" w14:textId="5EA11F3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at 494.</w:t>
      </w:r>
    </w:p>
  </w:footnote>
  <w:footnote w:id="178">
    <w:p w14:paraId="0654D173" w14:textId="37AEEEB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at 495. </w:t>
      </w:r>
    </w:p>
  </w:footnote>
  <w:footnote w:id="179">
    <w:p w14:paraId="7DEB2616" w14:textId="52FF3CC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In an earlier motion to dismiss, the defendants argued that both </w:t>
      </w:r>
      <w:r w:rsidRPr="003170A4">
        <w:rPr>
          <w:rFonts w:asciiTheme="majorBidi" w:hAnsiTheme="majorBidi" w:cstheme="majorBidi"/>
          <w:i/>
          <w:iCs/>
        </w:rPr>
        <w:t>MFW</w:t>
      </w:r>
      <w:r w:rsidRPr="003170A4">
        <w:rPr>
          <w:rFonts w:asciiTheme="majorBidi" w:hAnsiTheme="majorBidi" w:cstheme="majorBidi"/>
        </w:rPr>
        <w:t xml:space="preserve"> conditions were satisfied. The court, however, found that pled facts questioned the independence of Tesla’s compensation committee.</w:t>
      </w:r>
      <w:r w:rsidRPr="003170A4">
        <w:rPr>
          <w:rFonts w:asciiTheme="majorBidi" w:hAnsiTheme="majorBidi" w:cstheme="majorBidi"/>
          <w:i/>
          <w:iCs/>
        </w:rPr>
        <w:t xml:space="preserve"> </w:t>
      </w:r>
      <w:r w:rsidRPr="003170A4">
        <w:rPr>
          <w:rFonts w:asciiTheme="majorBidi" w:hAnsiTheme="majorBidi" w:cstheme="majorBidi"/>
        </w:rPr>
        <w:t xml:space="preserve"> </w:t>
      </w:r>
      <w:r w:rsidRPr="003170A4">
        <w:rPr>
          <w:rFonts w:asciiTheme="majorBidi" w:hAnsiTheme="majorBidi" w:cstheme="majorBidi"/>
          <w:i/>
          <w:iCs/>
        </w:rPr>
        <w:t xml:space="preserve">See Tornetta v. Musk, </w:t>
      </w:r>
      <w:r w:rsidRPr="003170A4">
        <w:rPr>
          <w:rFonts w:asciiTheme="majorBidi" w:hAnsiTheme="majorBidi" w:cstheme="majorBidi"/>
        </w:rPr>
        <w:t>250 A.3d 793, 809 (Del. Ch. 2019) (“[S]</w:t>
      </w:r>
      <w:proofErr w:type="spellStart"/>
      <w:r w:rsidRPr="003170A4">
        <w:rPr>
          <w:rFonts w:asciiTheme="majorBidi" w:hAnsiTheme="majorBidi" w:cstheme="majorBidi"/>
        </w:rPr>
        <w:t>ince</w:t>
      </w:r>
      <w:proofErr w:type="spellEnd"/>
      <w:r w:rsidRPr="003170A4">
        <w:rPr>
          <w:rFonts w:asciiTheme="majorBidi" w:hAnsiTheme="majorBidi" w:cstheme="majorBidi"/>
        </w:rPr>
        <w:t xml:space="preserve"> Plaintiff has well pled the Compensation Committee and Board processes with respect to the Award were also subject to the controller's coercive influence, at this stage, I must conclude the Award was not duly approved by either of Tesla's qualified decision makers.”)</w:t>
      </w:r>
    </w:p>
  </w:footnote>
  <w:footnote w:id="180">
    <w:p w14:paraId="27E532F8" w14:textId="72F069DB"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487 (“Board approval was not the finish line, because the Board conditioned the 2018 Grant on approval by a majority vote of disinterested stockholders.”). </w:t>
      </w:r>
    </w:p>
  </w:footnote>
  <w:footnote w:id="181">
    <w:p w14:paraId="238ED986" w14:textId="5F3EF14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Id. </w:t>
      </w:r>
      <w:r w:rsidRPr="003170A4" w:rsidDel="006E1D38">
        <w:rPr>
          <w:rFonts w:asciiTheme="majorBidi" w:hAnsiTheme="majorBidi" w:cstheme="majorBidi"/>
        </w:rPr>
        <w:t xml:space="preserve"> </w:t>
      </w:r>
      <w:r w:rsidRPr="003170A4">
        <w:rPr>
          <w:rFonts w:asciiTheme="majorBidi" w:hAnsiTheme="majorBidi" w:cstheme="majorBidi"/>
        </w:rPr>
        <w:t xml:space="preserve">at 490. Another interested shareholder, Kimbal, also recused himself from the vote. </w:t>
      </w:r>
      <w:r w:rsidRPr="003170A4">
        <w:rPr>
          <w:rFonts w:asciiTheme="majorBidi" w:hAnsiTheme="majorBidi" w:cstheme="majorBidi"/>
          <w:i/>
          <w:iCs/>
        </w:rPr>
        <w:t>Id</w:t>
      </w:r>
      <w:r w:rsidRPr="003170A4">
        <w:rPr>
          <w:rFonts w:asciiTheme="majorBidi" w:hAnsiTheme="majorBidi" w:cstheme="majorBidi"/>
        </w:rPr>
        <w:t xml:space="preserve">. at 454. </w:t>
      </w:r>
    </w:p>
  </w:footnote>
  <w:footnote w:id="182">
    <w:p w14:paraId="7B16AB6C"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533 (quoting </w:t>
      </w:r>
      <w:proofErr w:type="gramStart"/>
      <w:r w:rsidRPr="003170A4">
        <w:rPr>
          <w:rFonts w:asciiTheme="majorBidi" w:hAnsiTheme="majorBidi" w:cstheme="majorBidi"/>
          <w:i/>
          <w:iCs/>
        </w:rPr>
        <w:t>In</w:t>
      </w:r>
      <w:proofErr w:type="gramEnd"/>
      <w:r w:rsidRPr="003170A4">
        <w:rPr>
          <w:rFonts w:asciiTheme="majorBidi" w:hAnsiTheme="majorBidi" w:cstheme="majorBidi"/>
          <w:i/>
          <w:iCs/>
        </w:rPr>
        <w:t xml:space="preserve"> re Dole Food Co., Inc. Stockholder Litig.</w:t>
      </w:r>
      <w:r w:rsidRPr="003170A4">
        <w:rPr>
          <w:rFonts w:asciiTheme="majorBidi" w:hAnsiTheme="majorBidi" w:cstheme="majorBidi"/>
        </w:rPr>
        <w:t xml:space="preserve">, No. CV 8703-VCL, 2015 WL 5052214, at *33 (Del. Ch. Aug. 27, 2015) (“Instead of picking a single number, the court’s task is ‘to determine whether the transaction price falls within a range of fairness.’”). </w:t>
      </w:r>
    </w:p>
  </w:footnote>
  <w:footnote w:id="183">
    <w:p w14:paraId="7469EDDB" w14:textId="1AB5A3B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sidDel="006E1D38">
        <w:rPr>
          <w:rFonts w:asciiTheme="majorBidi" w:hAnsiTheme="majorBidi" w:cstheme="majorBidi"/>
        </w:rPr>
        <w:t xml:space="preserve"> </w:t>
      </w:r>
      <w:r w:rsidRPr="003170A4">
        <w:rPr>
          <w:rFonts w:asciiTheme="majorBidi" w:hAnsiTheme="majorBidi" w:cstheme="majorBidi"/>
        </w:rPr>
        <w:t>at 521. The court reject the defendants’ argument that “</w:t>
      </w:r>
      <w:r w:rsidRPr="003170A4">
        <w:rPr>
          <w:rFonts w:asciiTheme="majorBidi" w:hAnsiTheme="majorBidi" w:cstheme="majorBidi"/>
          <w:kern w:val="0"/>
        </w:rPr>
        <w:t xml:space="preserve">the stockholder vote was fully informed because the most important details of the Grant—the economic terms—were disclosed.” </w:t>
      </w:r>
      <w:r w:rsidRPr="003170A4">
        <w:rPr>
          <w:rFonts w:asciiTheme="majorBidi" w:hAnsiTheme="majorBidi" w:cstheme="majorBidi"/>
          <w:i/>
          <w:iCs/>
        </w:rPr>
        <w:t xml:space="preserve">Id. </w:t>
      </w:r>
      <w:r w:rsidRPr="003170A4">
        <w:rPr>
          <w:rFonts w:asciiTheme="majorBidi" w:hAnsiTheme="majorBidi" w:cstheme="majorBidi"/>
        </w:rPr>
        <w:t>at 525-526.</w:t>
      </w:r>
    </w:p>
  </w:footnote>
  <w:footnote w:id="184">
    <w:p w14:paraId="1ED6E226" w14:textId="29C8026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w:t>
      </w:r>
      <w:r w:rsidRPr="003170A4" w:rsidDel="006E1D38">
        <w:rPr>
          <w:rFonts w:asciiTheme="majorBidi" w:hAnsiTheme="majorBidi" w:cstheme="majorBidi"/>
        </w:rPr>
        <w:t xml:space="preserve"> </w:t>
      </w:r>
      <w:r w:rsidRPr="003170A4">
        <w:rPr>
          <w:rFonts w:asciiTheme="majorBidi" w:hAnsiTheme="majorBidi" w:cstheme="majorBidi"/>
        </w:rPr>
        <w:t xml:space="preserve">at 526. </w:t>
      </w:r>
    </w:p>
  </w:footnote>
  <w:footnote w:id="185">
    <w:p w14:paraId="33E25F0B"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445. </w:t>
      </w:r>
    </w:p>
  </w:footnote>
  <w:footnote w:id="186">
    <w:p w14:paraId="0E64F67A"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w:t>
      </w:r>
    </w:p>
  </w:footnote>
  <w:footnote w:id="187">
    <w:p w14:paraId="525052C1"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at 446 (“The defendants were thus left with the unenviable task of proving the fairness of the largest potential compensation plan in the history of public markets.”). </w:t>
      </w:r>
    </w:p>
  </w:footnote>
  <w:footnote w:id="188">
    <w:p w14:paraId="6E8384EF"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at 445.</w:t>
      </w:r>
    </w:p>
  </w:footnote>
  <w:footnote w:id="189">
    <w:p w14:paraId="468FC853" w14:textId="5B25453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00B26031" w:rsidRPr="003170A4">
        <w:rPr>
          <w:rFonts w:asciiTheme="majorBidi" w:hAnsiTheme="majorBidi" w:cstheme="majorBidi"/>
        </w:rPr>
        <w:t xml:space="preserve"> Christina Rodgers, </w:t>
      </w:r>
      <w:r w:rsidR="00B26031" w:rsidRPr="003170A4">
        <w:rPr>
          <w:rFonts w:asciiTheme="majorBidi" w:hAnsiTheme="majorBidi" w:cstheme="majorBidi"/>
          <w:i/>
          <w:iCs/>
        </w:rPr>
        <w:t>Ford CEO Received $16.7 million Pay for 2017</w:t>
      </w:r>
      <w:r w:rsidR="00B26031" w:rsidRPr="003170A4">
        <w:rPr>
          <w:rFonts w:asciiTheme="majorBidi" w:hAnsiTheme="majorBidi" w:cstheme="majorBidi"/>
        </w:rPr>
        <w:t xml:space="preserve">, WSJ </w:t>
      </w:r>
      <w:r w:rsidR="00B26031" w:rsidRPr="003170A4">
        <w:rPr>
          <w:rFonts w:asciiTheme="majorBidi" w:hAnsiTheme="majorBidi" w:cstheme="majorBidi"/>
          <w:i/>
          <w:iCs/>
        </w:rPr>
        <w:t xml:space="preserve"> </w:t>
      </w:r>
      <w:hyperlink r:id="rId10" w:history="1">
        <w:r w:rsidR="00B26031" w:rsidRPr="003170A4">
          <w:rPr>
            <w:rStyle w:val="Hyperlink"/>
            <w:rFonts w:asciiTheme="majorBidi" w:hAnsiTheme="majorBidi" w:cstheme="majorBidi"/>
            <w:color w:val="auto"/>
          </w:rPr>
          <w:t>https://www.wsj.com/articles/ford-ceo-received-16-7m-pay-for-2017-1522360484</w:t>
        </w:r>
      </w:hyperlink>
      <w:r w:rsidRPr="003170A4">
        <w:rPr>
          <w:rFonts w:asciiTheme="majorBidi" w:hAnsiTheme="majorBidi" w:cstheme="majorBidi"/>
        </w:rPr>
        <w:t>; https://www.bloomberg.com/news/articles/2020-04-03/ford-ceo-s-pay-slips-2-2-for-not-nearly-good-enough-year?embedded-checkout=true; https://www.freep.com/story/money/cars/ford/2021/04/01/ford-salaries-executive-team/4833859001/.</w:t>
      </w:r>
    </w:p>
  </w:footnote>
  <w:footnote w:id="190">
    <w:p w14:paraId="1504E99A"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Market Capitalization of General Motors</w:t>
      </w:r>
      <w:r w:rsidRPr="003170A4">
        <w:rPr>
          <w:rFonts w:asciiTheme="majorBidi" w:hAnsiTheme="majorBidi" w:cstheme="majorBidi"/>
        </w:rPr>
        <w:t xml:space="preserve">, </w:t>
      </w:r>
      <w:r w:rsidRPr="003170A4">
        <w:rPr>
          <w:rFonts w:asciiTheme="majorBidi" w:hAnsiTheme="majorBidi" w:cstheme="majorBidi"/>
          <w:smallCaps/>
        </w:rPr>
        <w:t>Companies Market Cap</w:t>
      </w:r>
      <w:r w:rsidRPr="003170A4">
        <w:rPr>
          <w:rFonts w:asciiTheme="majorBidi" w:hAnsiTheme="majorBidi" w:cstheme="majorBidi"/>
        </w:rPr>
        <w:t xml:space="preserve">, https://companiesmarketcap.com/general-motors/marketcap/ (last visited Mar. 3, 2014) (taking the year end 2022 market cap of $47.79 billion less the 2014 market cap of $55.85 billion);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also</w:t>
      </w:r>
      <w:r w:rsidRPr="003170A4">
        <w:rPr>
          <w:rFonts w:asciiTheme="majorBidi" w:hAnsiTheme="majorBidi" w:cstheme="majorBidi"/>
        </w:rPr>
        <w:t xml:space="preserve"> Andrew Bary, </w:t>
      </w:r>
      <w:r w:rsidRPr="003170A4">
        <w:rPr>
          <w:rFonts w:asciiTheme="majorBidi" w:hAnsiTheme="majorBidi" w:cstheme="majorBidi"/>
          <w:i/>
          <w:iCs/>
        </w:rPr>
        <w:t>GM Stock has Suffered During Mary Barra’s 9 Years as CEO</w:t>
      </w:r>
      <w:r w:rsidRPr="003170A4">
        <w:rPr>
          <w:rFonts w:asciiTheme="majorBidi" w:hAnsiTheme="majorBidi" w:cstheme="majorBidi"/>
        </w:rPr>
        <w:t xml:space="preserve">, </w:t>
      </w:r>
      <w:r w:rsidRPr="003170A4">
        <w:rPr>
          <w:rFonts w:asciiTheme="majorBidi" w:hAnsiTheme="majorBidi" w:cstheme="majorBidi"/>
          <w:smallCaps/>
        </w:rPr>
        <w:t>Barrons</w:t>
      </w:r>
      <w:r w:rsidRPr="003170A4">
        <w:rPr>
          <w:rFonts w:asciiTheme="majorBidi" w:hAnsiTheme="majorBidi" w:cstheme="majorBidi"/>
        </w:rPr>
        <w:t xml:space="preserve"> (Oct. 26, 2023). </w:t>
      </w:r>
    </w:p>
  </w:footnote>
  <w:footnote w:id="191">
    <w:p w14:paraId="2B86F293" w14:textId="40F03C89"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Mary Barra, CEO of General Motors (a peer firm of Tesla’s), earned $248.3 million from 2014 to 2022, while GM's market capitalization fell by about $8 billion. Andrew Bary, </w:t>
      </w:r>
      <w:r w:rsidRPr="003170A4">
        <w:rPr>
          <w:rFonts w:asciiTheme="majorBidi" w:hAnsiTheme="majorBidi" w:cstheme="majorBidi"/>
          <w:i/>
          <w:iCs/>
        </w:rPr>
        <w:t>GM Stock has Suffered During Mary Barra’s 9 Years as CEO,</w:t>
      </w:r>
      <w:r w:rsidRPr="003170A4">
        <w:rPr>
          <w:rFonts w:asciiTheme="majorBidi" w:hAnsiTheme="majorBidi" w:cstheme="majorBidi"/>
        </w:rPr>
        <w:t xml:space="preserve"> Barrons (Oct. 26, 2023).</w:t>
      </w:r>
    </w:p>
  </w:footnote>
  <w:footnote w:id="192">
    <w:p w14:paraId="78827D6D"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Tesla, Inc., </w:t>
      </w:r>
      <w:r w:rsidRPr="003170A4">
        <w:rPr>
          <w:rFonts w:asciiTheme="majorBidi" w:hAnsiTheme="majorBidi" w:cstheme="majorBidi"/>
          <w:i/>
          <w:iCs/>
        </w:rPr>
        <w:t>Proxy Statement Pursuant to Section 14(a) of the Securities Exchange Act of 1934</w:t>
      </w:r>
      <w:r w:rsidRPr="003170A4">
        <w:rPr>
          <w:rFonts w:asciiTheme="majorBidi" w:hAnsiTheme="majorBidi" w:cstheme="majorBidi"/>
        </w:rPr>
        <w:t>, SEC, https://www.sec.gov/Archives/edgar/data/1318605/000119312518035345/d524719ddef14a.htm#toc524719_8.</w:t>
      </w:r>
    </w:p>
  </w:footnote>
  <w:footnote w:id="193">
    <w:p w14:paraId="4112BF8D"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 Tornetta,</w:t>
      </w:r>
      <w:r w:rsidRPr="003170A4">
        <w:rPr>
          <w:rFonts w:asciiTheme="majorBidi" w:hAnsiTheme="majorBidi" w:cstheme="majorBidi"/>
        </w:rPr>
        <w:t xml:space="preserve"> 310 A.3d at 519 (“That is a hard sell. As CEO, Musk’s job was the same as every other public company CEO: improve earnings and create value.”). </w:t>
      </w:r>
    </w:p>
  </w:footnote>
  <w:footnote w:id="194">
    <w:p w14:paraId="074B4EEE"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at 448.</w:t>
      </w:r>
    </w:p>
  </w:footnote>
  <w:footnote w:id="195">
    <w:p w14:paraId="4FBF25FE" w14:textId="769911E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Note that this same concern about hindsight also affects the court’s scrutiny of the special committee’s bargaining, where the court assumed that Musk would be successful and meet all of the milestones. But recall that in real-time, experts and the stock market were skeptical that the goals outlined in the options grant could ever be achieved. In the immediate aftermath of the grant, Tesla’s stock price did not rise to reflect the fantastic future anticipated by management and memorialized in the agreement, but instead declined, continuing to do so for some time. Under these conditions, what makes one fantastic term fairer than another? It is difficult to fault the special committee process from this vantage point. </w:t>
      </w:r>
    </w:p>
  </w:footnote>
  <w:footnote w:id="196">
    <w:p w14:paraId="6F1FB79B" w14:textId="41F9F6A5"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The court repeatedly emphasized that the committee believed that the first three milestones were “70% likely to be achieved” at the time of the grant.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at 539. Leaving aside the fact that this statement was not a “real” prediction but rather required for accounting purposes and to satisfy bond covenants, if Tesla had not gone further than this, Musk would have been entitled to purchase only 3% of Tesla’s stock.</w:t>
      </w:r>
    </w:p>
  </w:footnote>
  <w:footnote w:id="197">
    <w:p w14:paraId="4858CFF4" w14:textId="1EB0F13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527. </w:t>
      </w:r>
    </w:p>
  </w:footnote>
  <w:footnote w:id="198">
    <w:p w14:paraId="1D66C340" w14:textId="702040D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And “where the pricing terms of a transaction that is the product of an unfair process cannot be justified by reference to reliable markets or by comparison to substantial and dependable precedent transactions, the burden of persuading the court of the fairness of the terms will be exceptionally difficult.”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533 (quoting </w:t>
      </w:r>
      <w:r w:rsidRPr="003170A4">
        <w:rPr>
          <w:rFonts w:asciiTheme="majorBidi" w:hAnsiTheme="majorBidi" w:cstheme="majorBidi"/>
          <w:i/>
          <w:iCs/>
        </w:rPr>
        <w:t>Valeant Pharms. Int'l v. Jerney</w:t>
      </w:r>
      <w:r w:rsidRPr="003170A4">
        <w:rPr>
          <w:rFonts w:asciiTheme="majorBidi" w:hAnsiTheme="majorBidi" w:cstheme="majorBidi"/>
        </w:rPr>
        <w:t>, 921 A.2d 732, 748 (Del. Ch. 2007)).</w:t>
      </w:r>
    </w:p>
  </w:footnote>
  <w:footnote w:id="199">
    <w:p w14:paraId="7E9DF2CE"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The Tesla board defended its decision to not use benchmarks in its evaluation of the compensation package for this very reason.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518. Nonetheless, the court held the decision against the board when evaluating the process. </w:t>
      </w:r>
      <w:r w:rsidRPr="003170A4">
        <w:rPr>
          <w:rFonts w:asciiTheme="majorBidi" w:hAnsiTheme="majorBidi" w:cstheme="majorBidi"/>
          <w:i/>
          <w:iCs/>
        </w:rPr>
        <w:t>Id</w:t>
      </w:r>
      <w:r w:rsidRPr="003170A4">
        <w:rPr>
          <w:rFonts w:asciiTheme="majorBidi" w:hAnsiTheme="majorBidi" w:cstheme="majorBidi"/>
        </w:rPr>
        <w:t>. at 519. Our analysis suggests that the court should not necessarily have penalized the board given the limited usefulness of such studies when vision is at stake.</w:t>
      </w:r>
    </w:p>
  </w:footnote>
  <w:footnote w:id="200">
    <w:p w14:paraId="34E8DEDE" w14:textId="7CDEC4C6"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Id. </w:t>
      </w:r>
    </w:p>
  </w:footnote>
  <w:footnote w:id="201">
    <w:p w14:paraId="1F5DAA63" w14:textId="3E6056BE"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Id. </w:t>
      </w:r>
    </w:p>
  </w:footnote>
  <w:footnote w:id="202">
    <w:p w14:paraId="69C56A69" w14:textId="78A9058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For instance, in a freeze-out, where the controller becomes the company’s sole owner after the transaction closes, the negotiation is a zero-sum game: any increase in the price paid to the minority shareholders directly reduces the controller’s share and vice versa. In such scenarios, the absence of the controller’s idiosyncratic vision allows the special committee to rely on expert valuation reports, and the impending end of the relationship permits adversarial negotiations to secure a higher price for the minority shareholders.</w:t>
      </w:r>
    </w:p>
  </w:footnote>
  <w:footnote w:id="203">
    <w:p w14:paraId="23BDA809" w14:textId="3FDE05A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According to negotiation experts, “negotiators with an adversarial bargaining style often fare worse than negotiators with a collaborative approach.” </w:t>
      </w:r>
      <w:r w:rsidRPr="003170A4">
        <w:rPr>
          <w:rFonts w:asciiTheme="majorBidi" w:hAnsiTheme="majorBidi" w:cstheme="majorBidi"/>
          <w:i/>
          <w:iCs/>
        </w:rPr>
        <w:t>Adversarial Bargaining</w:t>
      </w:r>
      <w:r w:rsidRPr="003170A4">
        <w:rPr>
          <w:rFonts w:asciiTheme="majorBidi" w:hAnsiTheme="majorBidi" w:cstheme="majorBidi"/>
        </w:rPr>
        <w:t xml:space="preserve">, </w:t>
      </w:r>
      <w:r w:rsidRPr="003170A4">
        <w:rPr>
          <w:rFonts w:asciiTheme="majorBidi" w:hAnsiTheme="majorBidi" w:cstheme="majorBidi"/>
          <w:smallCaps/>
        </w:rPr>
        <w:t>Harvard Law School</w:t>
      </w:r>
      <w:r w:rsidRPr="003170A4">
        <w:rPr>
          <w:rFonts w:asciiTheme="majorBidi" w:hAnsiTheme="majorBidi" w:cstheme="majorBidi"/>
        </w:rPr>
        <w:t xml:space="preserve">, </w:t>
      </w:r>
      <w:hyperlink r:id="rId11" w:history="1">
        <w:r w:rsidRPr="003170A4">
          <w:rPr>
            <w:rStyle w:val="Hyperlink"/>
            <w:rFonts w:asciiTheme="majorBidi" w:hAnsiTheme="majorBidi" w:cstheme="majorBidi"/>
            <w:color w:val="auto"/>
            <w:u w:val="none"/>
          </w:rPr>
          <w:t>https://www.pon.harvard.edu/tag/adversarial-bargaining/</w:t>
        </w:r>
      </w:hyperlink>
      <w:r w:rsidRPr="003170A4">
        <w:rPr>
          <w:rStyle w:val="Hyperlink"/>
          <w:rFonts w:asciiTheme="majorBidi" w:hAnsiTheme="majorBidi" w:cstheme="majorBidi"/>
          <w:color w:val="auto"/>
          <w:u w:val="none"/>
        </w:rPr>
        <w:t xml:space="preserve">; </w:t>
      </w:r>
      <w:r w:rsidRPr="003170A4">
        <w:rPr>
          <w:rStyle w:val="Hyperlink"/>
          <w:rFonts w:asciiTheme="majorBidi" w:hAnsiTheme="majorBidi" w:cstheme="majorBidi"/>
          <w:i/>
          <w:iCs/>
          <w:color w:val="auto"/>
          <w:u w:val="none"/>
        </w:rPr>
        <w:t>see also</w:t>
      </w:r>
      <w:r w:rsidRPr="003170A4">
        <w:rPr>
          <w:rStyle w:val="Hyperlink"/>
          <w:rFonts w:asciiTheme="majorBidi" w:hAnsiTheme="majorBidi" w:cstheme="majorBidi"/>
          <w:color w:val="auto"/>
          <w:u w:val="none"/>
        </w:rPr>
        <w:t xml:space="preserve"> James </w:t>
      </w:r>
      <w:r w:rsidRPr="003170A4">
        <w:rPr>
          <w:rFonts w:asciiTheme="majorBidi" w:hAnsiTheme="majorBidi" w:cstheme="majorBidi"/>
        </w:rPr>
        <w:t xml:space="preserve">Kelleher, </w:t>
      </w:r>
      <w:r w:rsidRPr="003170A4">
        <w:rPr>
          <w:rFonts w:asciiTheme="majorBidi" w:hAnsiTheme="majorBidi" w:cstheme="majorBidi"/>
          <w:i/>
          <w:iCs/>
        </w:rPr>
        <w:t>Review of Traditional and Collaborative Models for Negotiation</w:t>
      </w:r>
      <w:r w:rsidRPr="003170A4">
        <w:rPr>
          <w:rFonts w:asciiTheme="majorBidi" w:hAnsiTheme="majorBidi" w:cstheme="majorBidi"/>
        </w:rPr>
        <w:t>, </w:t>
      </w:r>
      <w:r w:rsidRPr="003170A4">
        <w:rPr>
          <w:rFonts w:asciiTheme="majorBidi" w:hAnsiTheme="majorBidi" w:cstheme="majorBidi"/>
          <w:smallCaps/>
        </w:rPr>
        <w:t xml:space="preserve">J. of Collective </w:t>
      </w:r>
      <w:proofErr w:type="spellStart"/>
      <w:r w:rsidRPr="003170A4">
        <w:rPr>
          <w:rFonts w:asciiTheme="majorBidi" w:hAnsiTheme="majorBidi" w:cstheme="majorBidi"/>
          <w:smallCaps/>
        </w:rPr>
        <w:t>Negot</w:t>
      </w:r>
      <w:proofErr w:type="spellEnd"/>
      <w:r w:rsidRPr="003170A4">
        <w:rPr>
          <w:rFonts w:asciiTheme="majorBidi" w:hAnsiTheme="majorBidi" w:cstheme="majorBidi"/>
          <w:smallCaps/>
        </w:rPr>
        <w:t>. in the Public Sector</w:t>
      </w:r>
      <w:r w:rsidRPr="003170A4">
        <w:rPr>
          <w:rFonts w:asciiTheme="majorBidi" w:hAnsiTheme="majorBidi" w:cstheme="majorBidi"/>
        </w:rPr>
        <w:t xml:space="preserve"> (2000) 321.</w:t>
      </w:r>
    </w:p>
  </w:footnote>
  <w:footnote w:id="204">
    <w:p w14:paraId="64746F33" w14:textId="18318C11"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The court recognized that “negotiations over CEO compensation give rise to strange dynamics because the parties need to work collaboratively after the negotiations have ceased, but that is true in many negotiations and in virtually every salary negotiation.” It nonetheless concluded that “this was also not the place for it.  When considering the largest compensation plan in the history of the public markets, the directors needed to do more than accommodate the CEO.” </w:t>
      </w:r>
      <w:r w:rsidRPr="003170A4">
        <w:rPr>
          <w:rFonts w:asciiTheme="majorBidi" w:hAnsiTheme="majorBidi" w:cstheme="majorBidi"/>
          <w:i/>
          <w:iCs/>
        </w:rPr>
        <w:t>Tornetta</w:t>
      </w:r>
      <w:r w:rsidRPr="003170A4">
        <w:rPr>
          <w:rFonts w:asciiTheme="majorBidi" w:hAnsiTheme="majorBidi" w:cstheme="majorBidi"/>
        </w:rPr>
        <w:t>, n. 733. In other words, the court recognized that a collaborative approach could be necessary in exactly these circumstances and yet the size of the grant suggested more was necessary from the committee. In other words, the price element infected the court’s conclusion about the special committee process once again.</w:t>
      </w:r>
    </w:p>
  </w:footnote>
  <w:footnote w:id="205">
    <w:p w14:paraId="60C0E794" w14:textId="64A787A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at 530.</w:t>
      </w:r>
    </w:p>
  </w:footnote>
  <w:footnote w:id="206">
    <w:p w14:paraId="0063225A" w14:textId="6985C3BC"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“The Board viewed total outstanding shares as a simpler metric and had used it when issuing the 2012 Grant.”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at 447. The court’s approach might have resulted from trying to “read the tea leaves” of the negotiation posture in order to avoid evaluating what is impossible to value.</w:t>
      </w:r>
    </w:p>
  </w:footnote>
  <w:footnote w:id="207">
    <w:p w14:paraId="42F30BD1" w14:textId="5B674D2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 xml:space="preserve">at 447 footnote 346. </w:t>
      </w:r>
    </w:p>
  </w:footnote>
  <w:footnote w:id="208">
    <w:p w14:paraId="01B475BA" w14:textId="0BCBD8D8"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Id. </w:t>
      </w:r>
    </w:p>
  </w:footnote>
  <w:footnote w:id="209">
    <w:p w14:paraId="3F88D348" w14:textId="10ED1BC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eastAsia="NewBaskervilleITCPro-Roman" w:hAnsiTheme="majorBidi" w:cstheme="majorBidi"/>
          <w:kern w:val="0"/>
        </w:rPr>
        <w:t>Note, further, the committee achieved a clever solution given their inability to value Musk’s efforts over time. Musk had made outlandish promises about Tesla’s future value that seemed far-fetched at the time of the negotiation, as Tesla neared bankruptcy. So rather than accept those promises as given, the committee embraced a compensation package that was contingent on his promises bearing out. If Tesla did not perform as promised, Musk would receive nothing. But if Musk’s vision was achieved, he would be amply rewarded for the shareholders’ success.</w:t>
      </w:r>
    </w:p>
  </w:footnote>
  <w:footnote w:id="210">
    <w:p w14:paraId="4298F024" w14:textId="2EDF1295"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Goshen, </w:t>
      </w:r>
      <w:r w:rsidRPr="003170A4">
        <w:rPr>
          <w:rFonts w:asciiTheme="majorBidi" w:hAnsiTheme="majorBidi" w:cstheme="majorBidi"/>
          <w:i/>
          <w:iCs/>
        </w:rPr>
        <w:t>supra</w:t>
      </w:r>
      <w:r w:rsidRPr="003170A4">
        <w:rPr>
          <w:rFonts w:asciiTheme="majorBidi" w:hAnsiTheme="majorBidi" w:cstheme="majorBidi"/>
        </w:rPr>
        <w:t xml:space="preserve"> note 21, at 966.</w:t>
      </w:r>
    </w:p>
  </w:footnote>
  <w:footnote w:id="211">
    <w:p w14:paraId="461E4614" w14:textId="6946823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In re Tesla Motors</w:t>
      </w:r>
      <w:r w:rsidRPr="003170A4">
        <w:rPr>
          <w:rFonts w:asciiTheme="majorBidi" w:hAnsiTheme="majorBidi" w:cstheme="majorBidi"/>
        </w:rPr>
        <w:t>, 2022 WL 1237185, at *3.</w:t>
      </w:r>
    </w:p>
  </w:footnote>
  <w:footnote w:id="212">
    <w:p w14:paraId="68BCAB83" w14:textId="50FE78E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w:t>
      </w:r>
    </w:p>
  </w:footnote>
  <w:footnote w:id="213">
    <w:p w14:paraId="57711D9E" w14:textId="507A98C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at *27.</w:t>
      </w:r>
    </w:p>
  </w:footnote>
  <w:footnote w:id="214">
    <w:p w14:paraId="418C54E5" w14:textId="54D379A0"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Id. </w:t>
      </w:r>
    </w:p>
  </w:footnote>
  <w:footnote w:id="215">
    <w:p w14:paraId="04945DDA" w14:textId="639AE0B0"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xml:space="preserve">. at *6. </w:t>
      </w:r>
    </w:p>
  </w:footnote>
  <w:footnote w:id="216">
    <w:p w14:paraId="4F4FBF7A"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In re Tesla</w:t>
      </w:r>
      <w:r w:rsidRPr="003170A4">
        <w:rPr>
          <w:rFonts w:asciiTheme="majorBidi" w:hAnsiTheme="majorBidi" w:cstheme="majorBidi"/>
        </w:rPr>
        <w:t>, 298 A.3d at 726 (“[P]</w:t>
      </w:r>
      <w:proofErr w:type="spellStart"/>
      <w:r w:rsidRPr="003170A4">
        <w:rPr>
          <w:rFonts w:asciiTheme="majorBidi" w:hAnsiTheme="majorBidi" w:cstheme="majorBidi"/>
        </w:rPr>
        <w:t>otential</w:t>
      </w:r>
      <w:proofErr w:type="spellEnd"/>
      <w:r w:rsidRPr="003170A4">
        <w:rPr>
          <w:rFonts w:asciiTheme="majorBidi" w:hAnsiTheme="majorBidi" w:cstheme="majorBidi"/>
        </w:rPr>
        <w:t xml:space="preserve"> synergies are often a prime motivator for an acquiring company.”) </w:t>
      </w:r>
    </w:p>
  </w:footnote>
  <w:footnote w:id="217">
    <w:p w14:paraId="41717F17"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In re Tesla</w:t>
      </w:r>
      <w:r w:rsidRPr="003170A4">
        <w:rPr>
          <w:rFonts w:asciiTheme="majorBidi" w:hAnsiTheme="majorBidi" w:cstheme="majorBidi"/>
        </w:rPr>
        <w:t>, 298 A.3d at 726 (“synergistic values are a relevant input for a court to consider in assessing the entire fairness of an acquisition.”)</w:t>
      </w:r>
    </w:p>
  </w:footnote>
  <w:footnote w:id="218">
    <w:p w14:paraId="01CC7258" w14:textId="4BB13F8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As further evidence for this point, consider that the parties presented widely varying views on the fair price of SolarCity—different by over $2 billion dollars. </w:t>
      </w:r>
      <w:r w:rsidRPr="003170A4">
        <w:rPr>
          <w:rFonts w:asciiTheme="majorBidi" w:hAnsiTheme="majorBidi" w:cstheme="majorBidi"/>
          <w:i/>
          <w:iCs/>
        </w:rPr>
        <w:t>Id</w:t>
      </w:r>
      <w:r w:rsidRPr="003170A4">
        <w:rPr>
          <w:rFonts w:asciiTheme="majorBidi" w:hAnsiTheme="majorBidi" w:cstheme="majorBidi"/>
        </w:rPr>
        <w:t>. at *39-40.</w:t>
      </w:r>
    </w:p>
  </w:footnote>
  <w:footnote w:id="219">
    <w:p w14:paraId="6C1B1356" w14:textId="4BD76B38"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Id. </w:t>
      </w:r>
      <w:r w:rsidRPr="003170A4">
        <w:rPr>
          <w:rFonts w:asciiTheme="majorBidi" w:hAnsiTheme="majorBidi" w:cstheme="majorBidi"/>
        </w:rPr>
        <w:t>at 41.</w:t>
      </w:r>
    </w:p>
  </w:footnote>
  <w:footnote w:id="220">
    <w:p w14:paraId="5F02BBE4" w14:textId="5D2F34E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The court stated that it was unconvinced that “a DCF analysis is the proper method by which to value SolarCity given the facts.” </w:t>
      </w:r>
      <w:r w:rsidRPr="003170A4">
        <w:rPr>
          <w:rFonts w:asciiTheme="majorBidi" w:hAnsiTheme="majorBidi" w:cstheme="majorBidi"/>
          <w:i/>
          <w:iCs/>
        </w:rPr>
        <w:t>Id</w:t>
      </w:r>
      <w:r w:rsidRPr="003170A4">
        <w:rPr>
          <w:rFonts w:asciiTheme="majorBidi" w:hAnsiTheme="majorBidi" w:cstheme="majorBidi"/>
        </w:rPr>
        <w:t xml:space="preserve">. at *41. The court looked at other evidence, such as Solar City’s stock price, the Tesla shareholders’ approval of the transaction, and expert reports about the value of the synergies between the companies. </w:t>
      </w:r>
      <w:r w:rsidRPr="003170A4">
        <w:rPr>
          <w:rFonts w:asciiTheme="majorBidi" w:hAnsiTheme="majorBidi" w:cstheme="majorBidi"/>
          <w:i/>
          <w:iCs/>
        </w:rPr>
        <w:t>Id</w:t>
      </w:r>
      <w:r w:rsidRPr="003170A4">
        <w:rPr>
          <w:rFonts w:asciiTheme="majorBidi" w:hAnsiTheme="majorBidi" w:cstheme="majorBidi"/>
        </w:rPr>
        <w:t>. at *46.</w:t>
      </w:r>
    </w:p>
  </w:footnote>
  <w:footnote w:id="221">
    <w:p w14:paraId="7D46267B" w14:textId="0097F339"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Id. </w:t>
      </w:r>
    </w:p>
  </w:footnote>
  <w:footnote w:id="222">
    <w:p w14:paraId="0D8E7869" w14:textId="50E3E8DB"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at *47.</w:t>
      </w:r>
    </w:p>
  </w:footnote>
  <w:footnote w:id="223">
    <w:p w14:paraId="7C0CCB26" w14:textId="49AE1443"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Id. </w:t>
      </w:r>
    </w:p>
  </w:footnote>
  <w:footnote w:id="224">
    <w:p w14:paraId="16030ECA" w14:textId="25AEEE0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Id</w:t>
      </w:r>
      <w:r w:rsidRPr="003170A4">
        <w:rPr>
          <w:rFonts w:asciiTheme="majorBidi" w:hAnsiTheme="majorBidi" w:cstheme="majorBidi"/>
        </w:rPr>
        <w:t>. at *47. In August 2016, when the acquisition was announced, Tesla’s stock price was only $15 a share. The price remained around $15 a share through September, when the lawsuit was filed. By November 17, 2016, when shareholders approved the transaction, the stock price had dropped to $12.58 a share. Such a drop in price might suggest that the market estimated that Tesla overpaid for Solar City. But by the time the trial took place in July 2021, Tesla had become a success. The stock price had risen to $220 a share. When the decision affirming the price was rendered in April 2022, Tesla’s stock had reached $381 a share.</w:t>
      </w:r>
    </w:p>
  </w:footnote>
  <w:footnote w:id="225">
    <w:p w14:paraId="05FD0E16" w14:textId="6268837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Spencer Jakab, </w:t>
      </w:r>
      <w:r w:rsidRPr="003170A4">
        <w:rPr>
          <w:rFonts w:asciiTheme="majorBidi" w:hAnsiTheme="majorBidi" w:cstheme="majorBidi"/>
          <w:i/>
          <w:iCs/>
        </w:rPr>
        <w:t>A Double Dose of Risk for Tesla in SolarCity Deal</w:t>
      </w:r>
      <w:r w:rsidRPr="003170A4">
        <w:rPr>
          <w:rFonts w:asciiTheme="majorBidi" w:hAnsiTheme="majorBidi" w:cstheme="majorBidi"/>
        </w:rPr>
        <w:t xml:space="preserve">, </w:t>
      </w:r>
      <w:r w:rsidRPr="003170A4">
        <w:rPr>
          <w:rFonts w:asciiTheme="majorBidi" w:hAnsiTheme="majorBidi" w:cstheme="majorBidi"/>
          <w:smallCaps/>
        </w:rPr>
        <w:t xml:space="preserve">Wall Street J. </w:t>
      </w:r>
      <w:r w:rsidRPr="003170A4">
        <w:rPr>
          <w:rFonts w:asciiTheme="majorBidi" w:hAnsiTheme="majorBidi" w:cstheme="majorBidi"/>
        </w:rPr>
        <w:t>(Aug. 1, 2016, 11:59 AM), https://www.wsj.com/articles/a-double-dose-of-risk-for-tesla-insolarcity-deal-1470067165.</w:t>
      </w:r>
    </w:p>
  </w:footnote>
  <w:footnote w:id="226">
    <w:p w14:paraId="1E69623A" w14:textId="692E543F" w:rsidR="00B54C7C" w:rsidRPr="003170A4" w:rsidRDefault="00B54C7C" w:rsidP="007442E8">
      <w:pPr>
        <w:pStyle w:val="FootnoteText"/>
        <w:jc w:val="both"/>
        <w:rPr>
          <w:rFonts w:asciiTheme="majorBidi" w:hAnsiTheme="majorBidi" w:cstheme="majorBidi"/>
          <w:lang w:val="es-US"/>
        </w:rPr>
      </w:pPr>
      <w:r w:rsidRPr="003170A4">
        <w:rPr>
          <w:rStyle w:val="FootnoteReference"/>
          <w:rFonts w:asciiTheme="majorBidi" w:hAnsiTheme="majorBidi" w:cstheme="majorBidi"/>
        </w:rPr>
        <w:footnoteRef/>
      </w:r>
      <w:r w:rsidRPr="003170A4">
        <w:rPr>
          <w:rFonts w:asciiTheme="majorBidi" w:hAnsiTheme="majorBidi" w:cstheme="majorBidi"/>
          <w:lang w:val="es-US"/>
        </w:rPr>
        <w:t xml:space="preserve"> Gilson &amp; Gordon, </w:t>
      </w:r>
      <w:r w:rsidRPr="003170A4">
        <w:rPr>
          <w:rFonts w:asciiTheme="majorBidi" w:hAnsiTheme="majorBidi" w:cstheme="majorBidi"/>
          <w:i/>
          <w:iCs/>
          <w:lang w:val="es-US"/>
        </w:rPr>
        <w:t>supra</w:t>
      </w:r>
      <w:r w:rsidRPr="003170A4">
        <w:rPr>
          <w:rFonts w:asciiTheme="majorBidi" w:hAnsiTheme="majorBidi" w:cstheme="majorBidi"/>
          <w:lang w:val="es-US"/>
        </w:rPr>
        <w:t xml:space="preserve"> note 29; Gilson, </w:t>
      </w:r>
      <w:r w:rsidRPr="003170A4">
        <w:rPr>
          <w:rFonts w:asciiTheme="majorBidi" w:hAnsiTheme="majorBidi" w:cstheme="majorBidi"/>
          <w:i/>
          <w:iCs/>
          <w:lang w:val="es-US"/>
        </w:rPr>
        <w:t>supra</w:t>
      </w:r>
      <w:r w:rsidRPr="003170A4">
        <w:rPr>
          <w:rFonts w:asciiTheme="majorBidi" w:hAnsiTheme="majorBidi" w:cstheme="majorBidi"/>
          <w:lang w:val="es-US"/>
        </w:rPr>
        <w:t xml:space="preserve"> note 29. </w:t>
      </w:r>
    </w:p>
  </w:footnote>
  <w:footnote w:id="227">
    <w:p w14:paraId="07879E35" w14:textId="1303DD03" w:rsidR="00B54C7C" w:rsidRPr="003170A4" w:rsidRDefault="00B54C7C" w:rsidP="007442E8">
      <w:pPr>
        <w:pStyle w:val="FootnoteText"/>
        <w:jc w:val="both"/>
        <w:rPr>
          <w:rFonts w:asciiTheme="majorBidi" w:hAnsiTheme="majorBidi" w:cstheme="majorBidi"/>
          <w:i/>
          <w:iCs/>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See </w:t>
      </w:r>
      <w:r w:rsidRPr="003170A4">
        <w:rPr>
          <w:rFonts w:asciiTheme="majorBidi" w:hAnsiTheme="majorBidi" w:cstheme="majorBidi"/>
        </w:rPr>
        <w:t xml:space="preserve">Part I.B., </w:t>
      </w:r>
      <w:r w:rsidRPr="003170A4">
        <w:rPr>
          <w:rFonts w:asciiTheme="majorBidi" w:hAnsiTheme="majorBidi" w:cstheme="majorBidi"/>
          <w:i/>
          <w:iCs/>
        </w:rPr>
        <w:t xml:space="preserve">supra. </w:t>
      </w:r>
    </w:p>
  </w:footnote>
  <w:footnote w:id="228">
    <w:p w14:paraId="51C5D495"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The failure of the special committee would not lead to a failure of the shareholder vote requirement if the deficiencies in the special committee’s process were disclosed to shareholders.</w:t>
      </w:r>
    </w:p>
  </w:footnote>
  <w:footnote w:id="229">
    <w:p w14:paraId="6BFDF9CA"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Of course, falsehoods in the proxy would be subject to liability under securities provisions that prohibit fraud in proxy statements. 17 C.F.R. § 240.14a-9.</w:t>
      </w:r>
    </w:p>
  </w:footnote>
  <w:footnote w:id="230">
    <w:p w14:paraId="4D273C67"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In re MFW</w:t>
      </w:r>
      <w:r w:rsidRPr="003170A4">
        <w:rPr>
          <w:rFonts w:asciiTheme="majorBidi" w:hAnsiTheme="majorBidi" w:cstheme="majorBidi"/>
        </w:rPr>
        <w:t xml:space="preserve">, 67 A.3d at 530 (discussing the special committee’s obligation to act with due care). </w:t>
      </w:r>
    </w:p>
  </w:footnote>
  <w:footnote w:id="231">
    <w:p w14:paraId="0B421EA2"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Indeed, this is why entrepreneurs may insist on retaining control over the corporation. </w:t>
      </w:r>
      <w:r w:rsidRPr="003170A4">
        <w:rPr>
          <w:rFonts w:asciiTheme="majorBidi" w:hAnsiTheme="majorBidi" w:cstheme="majorBidi"/>
          <w:i/>
          <w:iCs/>
        </w:rPr>
        <w:t xml:space="preserve">See </w:t>
      </w:r>
      <w:r w:rsidRPr="003170A4">
        <w:rPr>
          <w:rFonts w:asciiTheme="majorBidi" w:hAnsiTheme="majorBidi" w:cstheme="majorBidi"/>
        </w:rPr>
        <w:t xml:space="preserve">Goshen, </w:t>
      </w:r>
      <w:r w:rsidRPr="003170A4">
        <w:rPr>
          <w:rFonts w:asciiTheme="majorBidi" w:hAnsiTheme="majorBidi" w:cstheme="majorBidi"/>
          <w:i/>
          <w:iCs/>
        </w:rPr>
        <w:t>supra</w:t>
      </w:r>
      <w:r w:rsidRPr="003170A4">
        <w:rPr>
          <w:rFonts w:asciiTheme="majorBidi" w:hAnsiTheme="majorBidi" w:cstheme="majorBidi"/>
        </w:rPr>
        <w:t xml:space="preserve"> note 19. </w:t>
      </w:r>
    </w:p>
  </w:footnote>
  <w:footnote w:id="232">
    <w:p w14:paraId="26079B92" w14:textId="64010CA3"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What about the fact that institutional shareholders approving the transaction may have conflicts of interest that lead them to vote in favor of the transaction?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shd w:val="clear" w:color="auto" w:fill="FFFFFF"/>
        </w:rPr>
        <w:t xml:space="preserve">James D. Cox, Tomas J. Mondino &amp; Randall S. Thomas, </w:t>
      </w:r>
      <w:r w:rsidRPr="003170A4">
        <w:rPr>
          <w:rFonts w:asciiTheme="majorBidi" w:hAnsiTheme="majorBidi" w:cstheme="majorBidi"/>
          <w:i/>
          <w:iCs/>
          <w:shd w:val="clear" w:color="auto" w:fill="FFFFFF"/>
        </w:rPr>
        <w:t>Understanding the (</w:t>
      </w:r>
      <w:proofErr w:type="spellStart"/>
      <w:r w:rsidRPr="003170A4">
        <w:rPr>
          <w:rFonts w:asciiTheme="majorBidi" w:hAnsiTheme="majorBidi" w:cstheme="majorBidi"/>
          <w:i/>
          <w:iCs/>
          <w:shd w:val="clear" w:color="auto" w:fill="FFFFFF"/>
        </w:rPr>
        <w:t>Ir</w:t>
      </w:r>
      <w:proofErr w:type="spellEnd"/>
      <w:r w:rsidRPr="003170A4">
        <w:rPr>
          <w:rFonts w:asciiTheme="majorBidi" w:hAnsiTheme="majorBidi" w:cstheme="majorBidi"/>
          <w:i/>
          <w:iCs/>
          <w:shd w:val="clear" w:color="auto" w:fill="FFFFFF"/>
        </w:rPr>
        <w:t>)relevance of Shareholder Votes on M&amp;A Deals</w:t>
      </w:r>
      <w:r w:rsidRPr="003170A4">
        <w:rPr>
          <w:rFonts w:asciiTheme="majorBidi" w:hAnsiTheme="majorBidi" w:cstheme="majorBidi"/>
          <w:shd w:val="clear" w:color="auto" w:fill="FFFFFF"/>
        </w:rPr>
        <w:t>, 69 DUKE L.J. 503 (2019) (“Ratification voting frequently suffers from conflicts of interest. When this happens in a merger, the shareholders voting—often large institutional investors—may not be voting to maximize the value of the</w:t>
      </w:r>
      <w:r w:rsidRPr="003170A4">
        <w:rPr>
          <w:rFonts w:asciiTheme="majorBidi" w:hAnsiTheme="majorBidi" w:cstheme="majorBidi"/>
        </w:rPr>
        <w:t xml:space="preserve"> </w:t>
      </w:r>
      <w:r w:rsidRPr="003170A4">
        <w:rPr>
          <w:rFonts w:asciiTheme="majorBidi" w:hAnsiTheme="majorBidi" w:cstheme="majorBidi"/>
          <w:shd w:val="clear" w:color="auto" w:fill="FFFFFF"/>
        </w:rPr>
        <w:t>target firm but rather to further some other interest.”). We agree that pronounced conflicts of interest may be a reason to discredit the disinterestedness of the vote, as the plaintiffs in the SolarCity litigation argued. In re Tesla Motors, Inc. Stockholder Litig., 2018 WL 1560293, at *26 n.183 (highlighting the argument that because institutional shareholders held stock of the buyer and the target, they no longer qualified as disinterested, and predicting that this argument would resurface); see also</w:t>
      </w:r>
      <w:r w:rsidRPr="003170A4">
        <w:rPr>
          <w:rFonts w:asciiTheme="majorBidi" w:hAnsiTheme="majorBidi" w:cstheme="majorBidi"/>
        </w:rPr>
        <w:t xml:space="preserve"> </w:t>
      </w:r>
      <w:r w:rsidRPr="003170A4">
        <w:rPr>
          <w:rFonts w:asciiTheme="majorBidi" w:hAnsiTheme="majorBidi" w:cstheme="majorBidi"/>
          <w:shd w:val="clear" w:color="auto" w:fill="FFFFFF"/>
        </w:rPr>
        <w:t xml:space="preserve">Sean J. Griffith &amp; Dorothy S. Lund, Conflicted Mutual Fund Voting in Corporate Law, 99 B.U. L. REV. 1151 (2019) (arguing that judges should consider whether conflicted mutual fund votes qualify as disinterested). </w:t>
      </w:r>
    </w:p>
  </w:footnote>
  <w:footnote w:id="233">
    <w:p w14:paraId="5E2BDD93"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w:t>
      </w:r>
      <w:r w:rsidRPr="003170A4" w:rsidDel="006E1D38">
        <w:rPr>
          <w:rFonts w:asciiTheme="majorBidi" w:hAnsiTheme="majorBidi" w:cstheme="majorBidi"/>
        </w:rPr>
        <w:t xml:space="preserve"> </w:t>
      </w:r>
      <w:r w:rsidRPr="003170A4">
        <w:rPr>
          <w:rFonts w:asciiTheme="majorBidi" w:hAnsiTheme="majorBidi" w:cstheme="majorBidi"/>
        </w:rPr>
        <w:t>at 489.</w:t>
      </w:r>
    </w:p>
  </w:footnote>
  <w:footnote w:id="234">
    <w:p w14:paraId="14EF7A9D" w14:textId="1245ACE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This influence explains why courts do not give full cleansing power to the special committee’s approval of a controller transaction. See Match.</w:t>
      </w:r>
    </w:p>
  </w:footnote>
  <w:footnote w:id="235">
    <w:p w14:paraId="1EB8F3F2" w14:textId="4C1511B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But see Ryan Bubb, Emiliano Catan, and Holger Spamann (using a model to show that the controller’s ability to make take it or leave it offers can lead to suboptimal outcomes for shareholders who only have the right to vote). </w:t>
      </w:r>
    </w:p>
  </w:footnote>
  <w:footnote w:id="236">
    <w:p w14:paraId="57A6346B"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proofErr w:type="spellStart"/>
      <w:r w:rsidRPr="003170A4">
        <w:rPr>
          <w:rFonts w:asciiTheme="majorBidi" w:hAnsiTheme="majorBidi" w:cstheme="majorBidi"/>
        </w:rPr>
        <w:t>Hyunjoo</w:t>
      </w:r>
      <w:proofErr w:type="spellEnd"/>
      <w:r w:rsidRPr="003170A4">
        <w:rPr>
          <w:rFonts w:asciiTheme="majorBidi" w:hAnsiTheme="majorBidi" w:cstheme="majorBidi"/>
        </w:rPr>
        <w:t xml:space="preserve"> Jin, Ross Kerber &amp; Akash Sriram, </w:t>
      </w:r>
      <w:r w:rsidRPr="003170A4">
        <w:rPr>
          <w:rFonts w:asciiTheme="majorBidi" w:hAnsiTheme="majorBidi" w:cstheme="majorBidi"/>
          <w:i/>
          <w:iCs/>
        </w:rPr>
        <w:t>Elon Musk wins Tesla shareholder approval for $56 billion pay package</w:t>
      </w:r>
      <w:r w:rsidRPr="003170A4">
        <w:rPr>
          <w:rFonts w:asciiTheme="majorBidi" w:hAnsiTheme="majorBidi" w:cstheme="majorBidi"/>
        </w:rPr>
        <w:t xml:space="preserve">, </w:t>
      </w:r>
      <w:r w:rsidRPr="003170A4">
        <w:rPr>
          <w:rFonts w:asciiTheme="majorBidi" w:hAnsiTheme="majorBidi" w:cstheme="majorBidi"/>
          <w:smallCaps/>
        </w:rPr>
        <w:t>Reuters</w:t>
      </w:r>
      <w:r w:rsidRPr="003170A4">
        <w:rPr>
          <w:rFonts w:asciiTheme="majorBidi" w:hAnsiTheme="majorBidi" w:cstheme="majorBidi"/>
        </w:rPr>
        <w:t xml:space="preserve"> (Jun. 14, 2024), https://www.reuters.com/business/autos-transportation/musk-says-both-tesla-shareholder-resolutions-passing-by-wide-margins-2024-06-13/.</w:t>
      </w:r>
      <w:r w:rsidRPr="003170A4">
        <w:rPr>
          <w:rFonts w:asciiTheme="majorBidi" w:hAnsiTheme="majorBidi" w:cstheme="majorBidi"/>
          <w:smallCaps/>
        </w:rPr>
        <w:t xml:space="preserve"> </w:t>
      </w:r>
    </w:p>
  </w:footnote>
  <w:footnote w:id="237">
    <w:p w14:paraId="7585175F" w14:textId="654D5F5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One might argue that, for some shareholders, a rigorous bargaining process might provide a reason to support a self-dealing transaction. For these shareholders, the lack of disclosure about the special committee’s process would provide a reason not to support a transaction. This in turn would incentivize companies to disclose information about the special committee even under our modified framework. As we explain below, misleading or incomplete disclosure would allow aggrieved shareholders to challenge the special committee </w:t>
      </w:r>
      <w:r w:rsidRPr="003170A4">
        <w:rPr>
          <w:rFonts w:asciiTheme="majorBidi" w:hAnsiTheme="majorBidi" w:cstheme="majorBidi"/>
          <w:i/>
          <w:iCs/>
        </w:rPr>
        <w:t>MFW</w:t>
      </w:r>
      <w:r w:rsidRPr="003170A4">
        <w:rPr>
          <w:rFonts w:asciiTheme="majorBidi" w:hAnsiTheme="majorBidi" w:cstheme="majorBidi"/>
        </w:rPr>
        <w:t xml:space="preserve"> condition.</w:t>
      </w:r>
    </w:p>
  </w:footnote>
  <w:footnote w:id="238">
    <w:p w14:paraId="7663D596" w14:textId="44DF9F8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17 C.F.R. § 240.13e-3 (2024); Warren S. de Wied, Philip Richter, &amp; Robert C. Schwenke, </w:t>
      </w:r>
      <w:r w:rsidRPr="003170A4">
        <w:rPr>
          <w:rFonts w:asciiTheme="majorBidi" w:hAnsiTheme="majorBidi" w:cstheme="majorBidi"/>
          <w:i/>
          <w:iCs/>
        </w:rPr>
        <w:t>Going Private Transactions</w:t>
      </w:r>
      <w:r w:rsidRPr="003170A4">
        <w:rPr>
          <w:rFonts w:asciiTheme="majorBidi" w:hAnsiTheme="majorBidi" w:cstheme="majorBidi"/>
        </w:rPr>
        <w:t xml:space="preserve">, </w:t>
      </w:r>
      <w:r w:rsidRPr="003170A4">
        <w:rPr>
          <w:rFonts w:asciiTheme="majorBidi" w:hAnsiTheme="majorBidi" w:cstheme="majorBidi"/>
          <w:smallCaps/>
        </w:rPr>
        <w:t xml:space="preserve">Harv. L. Sch. Corp. Gov. Blog </w:t>
      </w:r>
      <w:r w:rsidRPr="003170A4">
        <w:rPr>
          <w:rFonts w:asciiTheme="majorBidi" w:hAnsiTheme="majorBidi" w:cstheme="majorBidi"/>
        </w:rPr>
        <w:t xml:space="preserve">(April 18, 2020) </w:t>
      </w:r>
      <w:hyperlink r:id="rId12" w:history="1">
        <w:r w:rsidRPr="003170A4">
          <w:rPr>
            <w:rStyle w:val="Hyperlink"/>
            <w:rFonts w:asciiTheme="majorBidi" w:hAnsiTheme="majorBidi" w:cstheme="majorBidi"/>
            <w:color w:val="auto"/>
            <w:u w:val="none"/>
          </w:rPr>
          <w:t>https://corpgov.law.harvard.edu/2020/04/18/going-private-transactions/</w:t>
        </w:r>
      </w:hyperlink>
      <w:r w:rsidRPr="003170A4">
        <w:rPr>
          <w:rFonts w:asciiTheme="majorBidi" w:hAnsiTheme="majorBidi" w:cstheme="majorBidi"/>
        </w:rPr>
        <w:t xml:space="preserve">; </w:t>
      </w:r>
      <w:r w:rsidRPr="003170A4">
        <w:rPr>
          <w:rFonts w:asciiTheme="majorBidi" w:hAnsiTheme="majorBidi" w:cstheme="majorBidi"/>
          <w:i/>
          <w:iCs/>
        </w:rPr>
        <w:t>Going Private Transactions, Exchange Act Rule 13e-3 and Schedule 13E-3</w:t>
      </w:r>
      <w:r w:rsidRPr="003170A4">
        <w:rPr>
          <w:rFonts w:asciiTheme="majorBidi" w:hAnsiTheme="majorBidi" w:cstheme="majorBidi"/>
        </w:rPr>
        <w:t xml:space="preserve">, SEC (Jan. 26, 2009), </w:t>
      </w:r>
      <w:hyperlink r:id="rId13" w:anchor=":~:text=Rule%2013e%2D3%20requires%20that,holders%20of%20the%20class%20of" w:history="1">
        <w:r w:rsidRPr="003170A4">
          <w:rPr>
            <w:rStyle w:val="Hyperlink"/>
            <w:rFonts w:asciiTheme="majorBidi" w:hAnsiTheme="majorBidi" w:cstheme="majorBidi"/>
            <w:color w:val="auto"/>
            <w:u w:val="none"/>
          </w:rPr>
          <w:t>https://www.sec.gov/divisions/corpfin/guidance/13e-3-interps.htm#:~:text=Rule%2013e%2D3%20requires%20that,holders%20of%20the%20class%20of</w:t>
        </w:r>
      </w:hyperlink>
      <w:r w:rsidRPr="003170A4">
        <w:rPr>
          <w:rFonts w:asciiTheme="majorBidi" w:hAnsiTheme="majorBidi" w:cstheme="majorBidi"/>
        </w:rPr>
        <w:t xml:space="preserve">. </w:t>
      </w:r>
    </w:p>
  </w:footnote>
  <w:footnote w:id="239">
    <w:p w14:paraId="61F5CFFB" w14:textId="77D9130D"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See 17 C.F.R. § 229.404(a) (2019). </w:t>
      </w:r>
    </w:p>
  </w:footnote>
  <w:footnote w:id="240">
    <w:p w14:paraId="6CBF834F"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See </w:t>
      </w:r>
      <w:proofErr w:type="spellStart"/>
      <w:r w:rsidRPr="003170A4">
        <w:rPr>
          <w:rFonts w:asciiTheme="majorBidi" w:hAnsiTheme="majorBidi" w:cstheme="majorBidi"/>
        </w:rPr>
        <w:t>Geeyoung</w:t>
      </w:r>
      <w:proofErr w:type="spellEnd"/>
      <w:r w:rsidRPr="003170A4">
        <w:rPr>
          <w:rFonts w:asciiTheme="majorBidi" w:hAnsiTheme="majorBidi" w:cstheme="majorBidi"/>
        </w:rPr>
        <w:t xml:space="preserve"> Min, </w:t>
      </w:r>
      <w:r w:rsidRPr="003170A4">
        <w:rPr>
          <w:rFonts w:asciiTheme="majorBidi" w:hAnsiTheme="majorBidi" w:cstheme="majorBidi"/>
          <w:i/>
          <w:iCs/>
        </w:rPr>
        <w:t>The SEC and the Courts’ Cooperative Policing of Related Party Transactions</w:t>
      </w:r>
      <w:r w:rsidRPr="003170A4">
        <w:rPr>
          <w:rFonts w:asciiTheme="majorBidi" w:hAnsiTheme="majorBidi" w:cstheme="majorBidi"/>
        </w:rPr>
        <w:t xml:space="preserve">, 3 </w:t>
      </w:r>
      <w:r w:rsidRPr="003170A4">
        <w:rPr>
          <w:rFonts w:asciiTheme="majorBidi" w:hAnsiTheme="majorBidi" w:cstheme="majorBidi"/>
          <w:smallCaps/>
        </w:rPr>
        <w:t>Colum. Bus. L. Rev</w:t>
      </w:r>
      <w:r w:rsidRPr="003170A4">
        <w:rPr>
          <w:rFonts w:asciiTheme="majorBidi" w:hAnsiTheme="majorBidi" w:cstheme="majorBidi"/>
        </w:rPr>
        <w:t xml:space="preserve">. 663 (2014) (arguing that the existing disclosure regime offers inadequate protection to public investors). </w:t>
      </w:r>
    </w:p>
  </w:footnote>
  <w:footnote w:id="241">
    <w:p w14:paraId="01B2EFEC" w14:textId="2306E1EE"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Itai Fiegenbaum, </w:t>
      </w:r>
      <w:r w:rsidRPr="003170A4">
        <w:rPr>
          <w:rFonts w:asciiTheme="majorBidi" w:hAnsiTheme="majorBidi" w:cstheme="majorBidi"/>
          <w:i/>
          <w:iCs/>
        </w:rPr>
        <w:t>The Controlling Shareholder Enforcement Gap</w:t>
      </w:r>
      <w:r w:rsidRPr="003170A4">
        <w:rPr>
          <w:rFonts w:asciiTheme="majorBidi" w:hAnsiTheme="majorBidi" w:cstheme="majorBidi"/>
        </w:rPr>
        <w:t xml:space="preserve">, 56 </w:t>
      </w:r>
      <w:r w:rsidRPr="003170A4">
        <w:rPr>
          <w:rFonts w:asciiTheme="majorBidi" w:hAnsiTheme="majorBidi" w:cstheme="majorBidi"/>
          <w:smallCaps/>
        </w:rPr>
        <w:t>Am. Bus. L.J</w:t>
      </w:r>
      <w:r w:rsidRPr="003170A4">
        <w:rPr>
          <w:rFonts w:asciiTheme="majorBidi" w:hAnsiTheme="majorBidi" w:cstheme="majorBidi"/>
        </w:rPr>
        <w:t xml:space="preserve">. 583, 621–22 (2019) (arguing that this “required disclosures will not necessarily provide an adequate information base” that would plaintiffs to challenge abusive related party transactions). </w:t>
      </w:r>
    </w:p>
  </w:footnote>
  <w:footnote w:id="242">
    <w:p w14:paraId="293AA45E" w14:textId="2A5B33B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Under </w:t>
      </w:r>
      <w:r w:rsidRPr="003170A4">
        <w:rPr>
          <w:rFonts w:asciiTheme="majorBidi" w:hAnsiTheme="majorBidi" w:cstheme="majorBidi"/>
          <w:i/>
          <w:iCs/>
        </w:rPr>
        <w:t>Corwin</w:t>
      </w:r>
      <w:r w:rsidRPr="003170A4">
        <w:rPr>
          <w:rFonts w:asciiTheme="majorBidi" w:hAnsiTheme="majorBidi" w:cstheme="majorBidi"/>
        </w:rPr>
        <w:t xml:space="preserve">, the </w:t>
      </w:r>
      <w:r w:rsidRPr="003170A4">
        <w:rPr>
          <w:rFonts w:asciiTheme="majorBidi" w:hAnsiTheme="majorBidi" w:cstheme="majorBidi"/>
          <w:lang w:bidi="he-IL"/>
        </w:rPr>
        <w:t xml:space="preserve">heightened scrutiny under the </w:t>
      </w:r>
      <w:r w:rsidRPr="003170A4">
        <w:rPr>
          <w:rFonts w:asciiTheme="majorBidi" w:hAnsiTheme="majorBidi" w:cstheme="majorBidi"/>
          <w:i/>
          <w:iCs/>
        </w:rPr>
        <w:t xml:space="preserve">Revlon </w:t>
      </w:r>
      <w:r w:rsidRPr="003170A4">
        <w:rPr>
          <w:rFonts w:asciiTheme="majorBidi" w:hAnsiTheme="majorBidi" w:cstheme="majorBidi"/>
        </w:rPr>
        <w:t xml:space="preserve">standard is primarily designed to give shareholders a tool of injunctive relief. However, after a deal closes, post-closing claims for damages will be subject to the business judgment rule—and not </w:t>
      </w:r>
      <w:r w:rsidRPr="003170A4">
        <w:rPr>
          <w:rFonts w:asciiTheme="majorBidi" w:hAnsiTheme="majorBidi" w:cstheme="majorBidi"/>
          <w:i/>
          <w:iCs/>
        </w:rPr>
        <w:t>Revlon--</w:t>
      </w:r>
      <w:r w:rsidRPr="003170A4">
        <w:rPr>
          <w:rFonts w:asciiTheme="majorBidi" w:hAnsiTheme="majorBidi" w:cstheme="majorBidi"/>
        </w:rPr>
        <w:t xml:space="preserve">if the transaction was approved by an informed, uncoerced shareholder vote. </w:t>
      </w:r>
      <w:r w:rsidRPr="003170A4">
        <w:rPr>
          <w:rFonts w:asciiTheme="majorBidi" w:hAnsiTheme="majorBidi" w:cstheme="majorBidi"/>
          <w:i/>
          <w:iCs/>
        </w:rPr>
        <w:t>Corwin</w:t>
      </w:r>
      <w:r w:rsidRPr="003170A4">
        <w:rPr>
          <w:rFonts w:asciiTheme="majorBidi" w:hAnsiTheme="majorBidi" w:cstheme="majorBidi"/>
        </w:rPr>
        <w:t xml:space="preserve">, 125 A.3d. at 312; </w:t>
      </w:r>
      <w:r w:rsidRPr="003170A4">
        <w:rPr>
          <w:rFonts w:asciiTheme="majorBidi" w:hAnsiTheme="majorBidi" w:cstheme="majorBidi"/>
          <w:i/>
          <w:iCs/>
        </w:rPr>
        <w:t>Chester County Retirement System v. Collins</w:t>
      </w:r>
      <w:r w:rsidRPr="003170A4">
        <w:rPr>
          <w:rFonts w:asciiTheme="majorBidi" w:hAnsiTheme="majorBidi" w:cstheme="majorBidi"/>
        </w:rPr>
        <w:t xml:space="preserve">, No. 12072-VCL, 2016 WL 7117924, at *2 (Del.Ch. 2016) “[W]hen a transaction has been approved by a majority of the disinterested stockholders in a fully informed and uncoerced vote, the business judgment rule applies and insulates the transaction from all attacks other than on the grounds of waste.” </w:t>
      </w:r>
      <w:r w:rsidRPr="003170A4">
        <w:rPr>
          <w:rFonts w:asciiTheme="majorBidi" w:hAnsiTheme="majorBidi" w:cstheme="majorBidi"/>
          <w:i/>
          <w:iCs/>
        </w:rPr>
        <w:t xml:space="preserve">See also </w:t>
      </w:r>
      <w:r w:rsidRPr="003170A4">
        <w:rPr>
          <w:rFonts w:asciiTheme="majorBidi" w:hAnsiTheme="majorBidi" w:cstheme="majorBidi"/>
        </w:rPr>
        <w:t xml:space="preserve">Franklin A. </w:t>
      </w:r>
      <w:proofErr w:type="spellStart"/>
      <w:r w:rsidRPr="003170A4">
        <w:rPr>
          <w:rFonts w:asciiTheme="majorBidi" w:hAnsiTheme="majorBidi" w:cstheme="majorBidi"/>
        </w:rPr>
        <w:t>Gevurtz</w:t>
      </w:r>
      <w:proofErr w:type="spellEnd"/>
      <w:r w:rsidRPr="003170A4">
        <w:rPr>
          <w:rFonts w:asciiTheme="majorBidi" w:hAnsiTheme="majorBidi" w:cstheme="majorBidi"/>
          <w:i/>
          <w:iCs/>
        </w:rPr>
        <w:t xml:space="preserve">, The Shareholder Approval Conundrum, </w:t>
      </w:r>
      <w:r w:rsidRPr="003170A4">
        <w:rPr>
          <w:rFonts w:asciiTheme="majorBidi" w:hAnsiTheme="majorBidi" w:cstheme="majorBidi"/>
        </w:rPr>
        <w:t>60 B.C. L. Rev. 1831</w:t>
      </w:r>
      <w:r w:rsidRPr="003170A4">
        <w:rPr>
          <w:rFonts w:asciiTheme="majorBidi" w:hAnsiTheme="majorBidi" w:cstheme="majorBidi"/>
          <w:lang w:bidi="he-IL"/>
        </w:rPr>
        <w:t>, 1860-1863</w:t>
      </w:r>
      <w:r w:rsidRPr="003170A4">
        <w:rPr>
          <w:rFonts w:asciiTheme="majorBidi" w:hAnsiTheme="majorBidi" w:cstheme="majorBidi"/>
        </w:rPr>
        <w:t xml:space="preserve"> (2019).</w:t>
      </w:r>
    </w:p>
  </w:footnote>
  <w:footnote w:id="243">
    <w:p w14:paraId="1ABCAF88" w14:textId="51F85D41"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One criticism of </w:t>
      </w:r>
      <w:r w:rsidRPr="003170A4">
        <w:rPr>
          <w:rFonts w:asciiTheme="majorBidi" w:hAnsiTheme="majorBidi" w:cstheme="majorBidi"/>
          <w:i/>
          <w:iCs/>
        </w:rPr>
        <w:t>Corwin</w:t>
      </w:r>
      <w:r w:rsidRPr="003170A4">
        <w:rPr>
          <w:rFonts w:asciiTheme="majorBidi" w:hAnsiTheme="majorBidi" w:cstheme="majorBidi"/>
        </w:rPr>
        <w:t xml:space="preserve"> is that the vote to approve the transaction could be “coerced” when it bundles a positive-value resolution such as a merger with a negative-value item—absolving managers of failing to secure a better transaction. See </w:t>
      </w:r>
      <w:r w:rsidRPr="003170A4">
        <w:rPr>
          <w:rFonts w:asciiTheme="majorBidi" w:hAnsiTheme="majorBidi" w:cstheme="majorBidi"/>
          <w:shd w:val="clear" w:color="auto" w:fill="FFFFFF"/>
        </w:rPr>
        <w:t>James D. Cox, Tomas J. Mondino &amp; Randall S. Thomas, Understanding the (</w:t>
      </w:r>
      <w:proofErr w:type="spellStart"/>
      <w:r w:rsidRPr="003170A4">
        <w:rPr>
          <w:rFonts w:asciiTheme="majorBidi" w:hAnsiTheme="majorBidi" w:cstheme="majorBidi"/>
          <w:shd w:val="clear" w:color="auto" w:fill="FFFFFF"/>
        </w:rPr>
        <w:t>Ir</w:t>
      </w:r>
      <w:proofErr w:type="spellEnd"/>
      <w:r w:rsidRPr="003170A4">
        <w:rPr>
          <w:rFonts w:asciiTheme="majorBidi" w:hAnsiTheme="majorBidi" w:cstheme="majorBidi"/>
          <w:shd w:val="clear" w:color="auto" w:fill="FFFFFF"/>
        </w:rPr>
        <w:t xml:space="preserve">)relevance of Shareholder Votes on M&amp;A Deals, 69 DUKE L.J. 503, 542 (2019); Franklin A. </w:t>
      </w:r>
      <w:proofErr w:type="spellStart"/>
      <w:r w:rsidRPr="003170A4">
        <w:rPr>
          <w:rFonts w:asciiTheme="majorBidi" w:hAnsiTheme="majorBidi" w:cstheme="majorBidi"/>
          <w:shd w:val="clear" w:color="auto" w:fill="FFFFFF"/>
        </w:rPr>
        <w:t>Gevurtz</w:t>
      </w:r>
      <w:proofErr w:type="spellEnd"/>
      <w:r w:rsidRPr="003170A4">
        <w:rPr>
          <w:rFonts w:asciiTheme="majorBidi" w:hAnsiTheme="majorBidi" w:cstheme="majorBidi"/>
          <w:shd w:val="clear" w:color="auto" w:fill="FFFFFF"/>
        </w:rPr>
        <w:t xml:space="preserve">, The Shareholder Approval Conundrum, 60 B.C. L. REV. 1831 (2019). </w:t>
      </w:r>
      <w:r w:rsidRPr="003170A4">
        <w:rPr>
          <w:rFonts w:asciiTheme="majorBidi" w:hAnsiTheme="majorBidi" w:cstheme="majorBidi"/>
        </w:rPr>
        <w:t xml:space="preserve">We address this argument more completely in another working paper, but for now, we simply highlight that with Corwin, Delaware courts determined that deference to the shareholder vote was best option, despite imperfections. Consider the alternative—if shareholders could challenge a transaction that was approved after the fact, it would tax transacting parties who could never avoid litigation—even when the shareholders in question determined the transaction was “on net, beneficial.” </w:t>
      </w:r>
      <w:proofErr w:type="spellStart"/>
      <w:r w:rsidRPr="003170A4">
        <w:rPr>
          <w:rFonts w:asciiTheme="majorBidi" w:hAnsiTheme="majorBidi" w:cstheme="majorBidi"/>
        </w:rPr>
        <w:t>Sciabacucchi</w:t>
      </w:r>
      <w:proofErr w:type="spellEnd"/>
      <w:r w:rsidRPr="003170A4">
        <w:rPr>
          <w:rFonts w:asciiTheme="majorBidi" w:hAnsiTheme="majorBidi" w:cstheme="majorBidi"/>
        </w:rPr>
        <w:t xml:space="preserve"> v. Liberty Broadband Corp., No. 11418-VCG, 2017 WL 2352152 (Del. Ch. May 31, 2017). Likewise, we believe the advantages that come from encouraging the disclosure of all material details involving the special committee process and the financial terms of the transaction outweigh any concerns about coercion. This is especially true given the increasing sophistication of institutional shareholders. The prototypical shareholder is no longer a rationally apathetic individual but an institutional shareholder like a hedge fund. If that hedge fund believes that the transaction is unfair, it can lobby other investors to vote no or engage with management.  See, e.g., </w:t>
      </w:r>
      <w:hyperlink r:id="rId14" w:history="1">
        <w:r w:rsidRPr="003170A4">
          <w:rPr>
            <w:rFonts w:asciiTheme="majorBidi" w:hAnsiTheme="majorBidi" w:cstheme="majorBidi"/>
          </w:rPr>
          <w:t>https://corpgov.law.harvard.edu/2024/05/06/ma-developments-hedge-fund-activism/</w:t>
        </w:r>
      </w:hyperlink>
      <w:r w:rsidRPr="003170A4">
        <w:rPr>
          <w:rFonts w:asciiTheme="majorBidi" w:hAnsiTheme="majorBidi" w:cstheme="majorBidi"/>
        </w:rPr>
        <w:t xml:space="preserve"> (In 2024, “activists have worked to block proposed M&amp;A transactions, mostly on the target side but sometimes also on the acquiror side, with the goal of either sweetening or scuttling the transaction”).</w:t>
      </w:r>
      <w:r w:rsidRPr="003170A4">
        <w:rPr>
          <w:rFonts w:asciiTheme="majorBidi" w:hAnsiTheme="majorBidi" w:cstheme="majorBidi"/>
          <w:shd w:val="clear" w:color="auto" w:fill="FFFFFF"/>
        </w:rPr>
        <w:t xml:space="preserve"> The presence of these engaged and vocal shareholders mitigates concerns about coercion. </w:t>
      </w:r>
    </w:p>
  </w:footnote>
  <w:footnote w:id="244">
    <w:p w14:paraId="7F68AEFC" w14:textId="4A7218A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It is unclear whether the rule would encourage plaintiffs to file challenges to the disclosure or the special committee’s process before the transaction closes or shareholder vote takes place. On the one hand, if the company provides full disclosure and a majority of minority shareholders voted to approve the transaction, plaintiffs will be effectively blocked from challenging the transaction. On the other hand, plaintiffs aware of disclosure flaws might wait for the transaction to close before filing a claim for damages. </w:t>
      </w:r>
      <w:r w:rsidRPr="003170A4">
        <w:rPr>
          <w:rFonts w:asciiTheme="majorBidi" w:hAnsiTheme="majorBidi" w:cstheme="majorBidi"/>
          <w:i/>
          <w:iCs/>
        </w:rPr>
        <w:t xml:space="preserve">See </w:t>
      </w:r>
      <w:r w:rsidRPr="003170A4">
        <w:rPr>
          <w:rFonts w:asciiTheme="majorBidi" w:hAnsiTheme="majorBidi" w:cstheme="majorBidi"/>
        </w:rPr>
        <w:t xml:space="preserve">Franklin A. </w:t>
      </w:r>
      <w:proofErr w:type="spellStart"/>
      <w:r w:rsidRPr="003170A4">
        <w:rPr>
          <w:rFonts w:asciiTheme="majorBidi" w:hAnsiTheme="majorBidi" w:cstheme="majorBidi"/>
        </w:rPr>
        <w:t>Gevurtz</w:t>
      </w:r>
      <w:proofErr w:type="spellEnd"/>
      <w:r w:rsidRPr="003170A4">
        <w:rPr>
          <w:rFonts w:asciiTheme="majorBidi" w:hAnsiTheme="majorBidi" w:cstheme="majorBidi"/>
          <w:i/>
          <w:iCs/>
        </w:rPr>
        <w:t xml:space="preserve">, The Shareholder Approval Conundrum, </w:t>
      </w:r>
      <w:r w:rsidRPr="003170A4">
        <w:rPr>
          <w:rFonts w:asciiTheme="majorBidi" w:hAnsiTheme="majorBidi" w:cstheme="majorBidi"/>
        </w:rPr>
        <w:t>60 B.C.L. Rev. 1831</w:t>
      </w:r>
      <w:r w:rsidRPr="003170A4">
        <w:rPr>
          <w:rFonts w:asciiTheme="majorBidi" w:hAnsiTheme="majorBidi" w:cstheme="majorBidi"/>
          <w:lang w:bidi="he-IL"/>
        </w:rPr>
        <w:t xml:space="preserve">, 1864 </w:t>
      </w:r>
      <w:r w:rsidRPr="003170A4">
        <w:rPr>
          <w:rFonts w:asciiTheme="majorBidi" w:hAnsiTheme="majorBidi" w:cstheme="majorBidi"/>
        </w:rPr>
        <w:t>(2019).</w:t>
      </w:r>
    </w:p>
  </w:footnote>
  <w:footnote w:id="245">
    <w:p w14:paraId="3C808AE2" w14:textId="53C4CDF3" w:rsidR="009C08EE" w:rsidRPr="003170A4" w:rsidRDefault="009C08EE" w:rsidP="001055BE">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00E717D4" w:rsidRPr="003170A4">
        <w:rPr>
          <w:rFonts w:asciiTheme="majorBidi" w:hAnsiTheme="majorBidi" w:cstheme="majorBidi"/>
          <w:i/>
          <w:iCs/>
        </w:rPr>
        <w:t>See</w:t>
      </w:r>
      <w:r w:rsidR="00E717D4" w:rsidRPr="003170A4">
        <w:rPr>
          <w:rFonts w:asciiTheme="majorBidi" w:hAnsiTheme="majorBidi" w:cstheme="majorBidi"/>
        </w:rPr>
        <w:t xml:space="preserve"> </w:t>
      </w:r>
      <w:r w:rsidR="00E717D4" w:rsidRPr="003170A4">
        <w:rPr>
          <w:rFonts w:asciiTheme="majorBidi" w:hAnsiTheme="majorBidi" w:cstheme="majorBidi"/>
          <w:i/>
          <w:iCs/>
        </w:rPr>
        <w:t>In re MFW</w:t>
      </w:r>
      <w:r w:rsidR="00E717D4" w:rsidRPr="003170A4">
        <w:rPr>
          <w:rFonts w:asciiTheme="majorBidi" w:hAnsiTheme="majorBidi" w:cstheme="majorBidi"/>
        </w:rPr>
        <w:t>, 67 A.3d at 533-534.</w:t>
      </w:r>
      <w:r w:rsidR="00F42A09" w:rsidRPr="003170A4">
        <w:rPr>
          <w:rFonts w:asciiTheme="majorBidi" w:hAnsiTheme="majorBidi" w:cstheme="majorBidi"/>
        </w:rPr>
        <w:t xml:space="preserve"> At the same time, </w:t>
      </w:r>
      <w:r w:rsidR="001055BE" w:rsidRPr="003170A4">
        <w:rPr>
          <w:rFonts w:asciiTheme="majorBidi" w:hAnsiTheme="majorBidi" w:cstheme="majorBidi"/>
        </w:rPr>
        <w:t>our proposal allows defendants to secure</w:t>
      </w:r>
      <w:r w:rsidR="00F42A09" w:rsidRPr="003170A4">
        <w:rPr>
          <w:rFonts w:asciiTheme="majorBidi" w:hAnsiTheme="majorBidi" w:cstheme="majorBidi"/>
        </w:rPr>
        <w:t xml:space="preserve"> </w:t>
      </w:r>
      <w:r w:rsidR="00337571" w:rsidRPr="003170A4">
        <w:rPr>
          <w:rFonts w:asciiTheme="majorBidi" w:hAnsiTheme="majorBidi" w:cstheme="majorBidi"/>
        </w:rPr>
        <w:t xml:space="preserve">business judgment review even if </w:t>
      </w:r>
      <w:r w:rsidR="003A20E9" w:rsidRPr="003170A4">
        <w:rPr>
          <w:rFonts w:asciiTheme="majorBidi" w:hAnsiTheme="majorBidi" w:cstheme="majorBidi"/>
        </w:rPr>
        <w:t>there were flaws in the special committee process</w:t>
      </w:r>
      <w:r w:rsidR="001055BE" w:rsidRPr="003170A4">
        <w:rPr>
          <w:rFonts w:asciiTheme="majorBidi" w:hAnsiTheme="majorBidi" w:cstheme="majorBidi"/>
        </w:rPr>
        <w:t>,</w:t>
      </w:r>
      <w:r w:rsidR="003A20E9" w:rsidRPr="003170A4">
        <w:rPr>
          <w:rFonts w:asciiTheme="majorBidi" w:hAnsiTheme="majorBidi" w:cstheme="majorBidi"/>
        </w:rPr>
        <w:t xml:space="preserve"> as long as these flaws were fully disclosed </w:t>
      </w:r>
      <w:r w:rsidR="00381E56" w:rsidRPr="003170A4">
        <w:rPr>
          <w:rFonts w:asciiTheme="majorBidi" w:hAnsiTheme="majorBidi" w:cstheme="majorBidi"/>
        </w:rPr>
        <w:t>to shareholders.</w:t>
      </w:r>
    </w:p>
  </w:footnote>
  <w:footnote w:id="246">
    <w:p w14:paraId="2CC7DAE3" w14:textId="401E6493" w:rsidR="00B54C7C" w:rsidRPr="003170A4" w:rsidRDefault="00B54C7C" w:rsidP="00172936">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See Ryan Bubb, Emiliano Catan, and Holger Spamann</w:t>
      </w:r>
      <w:r w:rsidR="00974ECB" w:rsidRPr="003170A4">
        <w:rPr>
          <w:rFonts w:asciiTheme="majorBidi" w:hAnsiTheme="majorBidi" w:cstheme="majorBidi"/>
        </w:rPr>
        <w:t xml:space="preserve">, </w:t>
      </w:r>
      <w:r w:rsidR="00974ECB" w:rsidRPr="003170A4">
        <w:rPr>
          <w:rFonts w:asciiTheme="majorBidi" w:hAnsiTheme="majorBidi" w:cstheme="majorBidi"/>
          <w:i/>
          <w:iCs/>
        </w:rPr>
        <w:t xml:space="preserve">Shareholder Rights and the Bargaining Structure in Control </w:t>
      </w:r>
      <w:r w:rsidR="00172936" w:rsidRPr="003170A4">
        <w:rPr>
          <w:rFonts w:asciiTheme="majorBidi" w:hAnsiTheme="majorBidi" w:cstheme="majorBidi"/>
        </w:rPr>
        <w:t>(August 18, 2024). European Corporate Governance Institute - Law Working Paper No. 798/2024</w:t>
      </w:r>
      <w:r w:rsidR="00172936" w:rsidRPr="003170A4">
        <w:rPr>
          <w:rFonts w:asciiTheme="majorBidi" w:hAnsiTheme="majorBidi" w:cstheme="majorBidi"/>
          <w:i/>
          <w:iCs/>
        </w:rPr>
        <w:t>, Available at SSRN: </w:t>
      </w:r>
      <w:hyperlink r:id="rId15" w:tgtFrame="_blank" w:history="1">
        <w:r w:rsidR="00172936" w:rsidRPr="003170A4">
          <w:rPr>
            <w:rStyle w:val="Hyperlink"/>
            <w:rFonts w:asciiTheme="majorBidi" w:hAnsiTheme="majorBidi" w:cstheme="majorBidi"/>
            <w:i/>
            <w:iCs/>
            <w:color w:val="auto"/>
          </w:rPr>
          <w:t>https://ssrn.com/abstract=4929197</w:t>
        </w:r>
      </w:hyperlink>
      <w:r w:rsidR="00172936" w:rsidRPr="003170A4">
        <w:rPr>
          <w:rFonts w:asciiTheme="majorBidi" w:hAnsiTheme="majorBidi" w:cstheme="majorBidi"/>
          <w:i/>
          <w:iCs/>
        </w:rPr>
        <w:t> </w:t>
      </w:r>
      <w:r w:rsidRPr="003170A4">
        <w:rPr>
          <w:rFonts w:asciiTheme="majorBidi" w:hAnsiTheme="majorBidi" w:cstheme="majorBidi"/>
        </w:rPr>
        <w:t xml:space="preserve"> (showing that an informed shareholder vote is sufficient for ensuring that (merger) transactions increase shareholder value). </w:t>
      </w:r>
    </w:p>
  </w:footnote>
  <w:footnote w:id="247">
    <w:p w14:paraId="08503376" w14:textId="6D370B0F"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Or has been approved by shareholders based on inadequate disclosure concerning the transaction’s economic terms. </w:t>
      </w:r>
    </w:p>
  </w:footnote>
  <w:footnote w:id="248">
    <w:p w14:paraId="7D505F82" w14:textId="3AE10B92"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See Tornetta v. </w:t>
      </w:r>
      <w:r w:rsidRPr="003170A4">
        <w:rPr>
          <w:rFonts w:asciiTheme="majorBidi" w:hAnsiTheme="majorBidi" w:cstheme="majorBidi"/>
        </w:rPr>
        <w:t>Musk, 250 A.3d 793, 800; In</w:t>
      </w:r>
      <w:r w:rsidRPr="003170A4">
        <w:rPr>
          <w:rFonts w:asciiTheme="majorBidi" w:hAnsiTheme="majorBidi" w:cstheme="majorBidi"/>
          <w:i/>
          <w:iCs/>
        </w:rPr>
        <w:t xml:space="preserve"> re Match</w:t>
      </w:r>
      <w:r w:rsidRPr="003170A4">
        <w:rPr>
          <w:rFonts w:asciiTheme="majorBidi" w:hAnsiTheme="majorBidi" w:cstheme="majorBidi"/>
        </w:rPr>
        <w:t>, 315 A.3d 446, 468.</w:t>
      </w:r>
    </w:p>
  </w:footnote>
  <w:footnote w:id="249">
    <w:p w14:paraId="5AF57C33" w14:textId="165EB80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In re Match</w:t>
      </w:r>
      <w:r w:rsidRPr="003170A4">
        <w:rPr>
          <w:rFonts w:asciiTheme="majorBidi" w:hAnsiTheme="majorBidi" w:cstheme="majorBidi"/>
        </w:rPr>
        <w:t xml:space="preserve">, 315 A.3d. 446, 468. </w:t>
      </w:r>
    </w:p>
  </w:footnote>
  <w:footnote w:id="250">
    <w:p w14:paraId="26FF60C8" w14:textId="3BCA5B95"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Other concerns might prevent courts from giving significant cleansing power to disinterested shareholder vote. One of the </w:t>
      </w:r>
      <w:r w:rsidRPr="003170A4">
        <w:rPr>
          <w:rFonts w:asciiTheme="majorBidi" w:hAnsiTheme="majorBidi" w:cstheme="majorBidi"/>
          <w:i/>
          <w:iCs/>
        </w:rPr>
        <w:t>MFW</w:t>
      </w:r>
      <w:r w:rsidRPr="003170A4">
        <w:rPr>
          <w:rFonts w:asciiTheme="majorBidi" w:hAnsiTheme="majorBidi" w:cstheme="majorBidi"/>
        </w:rPr>
        <w:t xml:space="preserve"> requirements, for example, is that the vote was not coerced. </w:t>
      </w:r>
      <w:r w:rsidRPr="003170A4">
        <w:rPr>
          <w:rFonts w:asciiTheme="majorBidi" w:hAnsiTheme="majorBidi" w:cstheme="majorBidi"/>
          <w:i/>
          <w:iCs/>
        </w:rPr>
        <w:t>See Kahn v. M &amp; F Worldwide Corp.</w:t>
      </w:r>
      <w:r w:rsidRPr="003170A4">
        <w:rPr>
          <w:rFonts w:asciiTheme="majorBidi" w:hAnsiTheme="majorBidi" w:cstheme="majorBidi"/>
        </w:rPr>
        <w:t xml:space="preserve">, 88 A.3d 635, 644. </w:t>
      </w:r>
      <w:r w:rsidRPr="003170A4">
        <w:rPr>
          <w:rFonts w:asciiTheme="majorBidi" w:hAnsiTheme="majorBidi" w:cstheme="majorBidi"/>
          <w:i/>
          <w:iCs/>
        </w:rPr>
        <w:t xml:space="preserve">See also </w:t>
      </w:r>
      <w:proofErr w:type="gramStart"/>
      <w:r w:rsidRPr="003170A4">
        <w:rPr>
          <w:rFonts w:asciiTheme="majorBidi" w:hAnsiTheme="majorBidi" w:cstheme="majorBidi"/>
          <w:i/>
          <w:iCs/>
        </w:rPr>
        <w:t>In</w:t>
      </w:r>
      <w:proofErr w:type="gramEnd"/>
      <w:r w:rsidRPr="003170A4">
        <w:rPr>
          <w:rFonts w:asciiTheme="majorBidi" w:hAnsiTheme="majorBidi" w:cstheme="majorBidi"/>
          <w:i/>
          <w:iCs/>
        </w:rPr>
        <w:t xml:space="preserve"> re Dell Techs. Inc. Class V </w:t>
      </w:r>
      <w:proofErr w:type="spellStart"/>
      <w:r w:rsidRPr="003170A4">
        <w:rPr>
          <w:rFonts w:asciiTheme="majorBidi" w:hAnsiTheme="majorBidi" w:cstheme="majorBidi"/>
          <w:i/>
          <w:iCs/>
        </w:rPr>
        <w:t>S'holders</w:t>
      </w:r>
      <w:proofErr w:type="spellEnd"/>
      <w:r w:rsidRPr="003170A4">
        <w:rPr>
          <w:rFonts w:asciiTheme="majorBidi" w:hAnsiTheme="majorBidi" w:cstheme="majorBidi"/>
          <w:i/>
          <w:iCs/>
        </w:rPr>
        <w:t xml:space="preserve"> Litig., </w:t>
      </w:r>
      <w:r w:rsidRPr="003170A4">
        <w:rPr>
          <w:rFonts w:asciiTheme="majorBidi" w:hAnsiTheme="majorBidi" w:cstheme="majorBidi"/>
        </w:rPr>
        <w:t>No. CV 2018-0816-JTL, 2020 WL 3096748, at *20 (Del. Ch. June 11, 2020) (finding that the complaint “supports a reasonable inference that the Company engaged in coercive conduct that undermined the effectiveness of the Special Committee and the legitimacy of the [shareholder] vote.”) We intend to discuss this requirement in future work.</w:t>
      </w:r>
    </w:p>
  </w:footnote>
  <w:footnote w:id="251">
    <w:p w14:paraId="5AF3398B" w14:textId="4F2F6514"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supra</w:t>
      </w:r>
      <w:r w:rsidRPr="003170A4">
        <w:rPr>
          <w:rFonts w:asciiTheme="majorBidi" w:hAnsiTheme="majorBidi" w:cstheme="majorBidi"/>
        </w:rPr>
        <w:t xml:space="preserve"> note 165. </w:t>
      </w:r>
    </w:p>
  </w:footnote>
  <w:footnote w:id="252">
    <w:p w14:paraId="7D8F4F8B" w14:textId="68459A96"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Tornetta</w:t>
      </w:r>
      <w:r w:rsidRPr="003170A4">
        <w:rPr>
          <w:rFonts w:asciiTheme="majorBidi" w:hAnsiTheme="majorBidi" w:cstheme="majorBidi"/>
        </w:rPr>
        <w:t>, 310 A.3d at 490.</w:t>
      </w:r>
    </w:p>
  </w:footnote>
  <w:footnote w:id="253">
    <w:p w14:paraId="674FBC58"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These factors are part of the existing fair process review framework. </w:t>
      </w:r>
      <w:r w:rsidRPr="003170A4">
        <w:rPr>
          <w:rFonts w:asciiTheme="majorBidi" w:hAnsiTheme="majorBidi" w:cstheme="majorBidi"/>
          <w:i/>
          <w:iCs/>
        </w:rPr>
        <w:t>See</w:t>
      </w:r>
      <w:r w:rsidRPr="003170A4">
        <w:rPr>
          <w:rFonts w:asciiTheme="majorBidi" w:hAnsiTheme="majorBidi" w:cstheme="majorBidi"/>
        </w:rPr>
        <w:t xml:space="preserve"> </w:t>
      </w:r>
      <w:r w:rsidRPr="003170A4">
        <w:rPr>
          <w:rFonts w:asciiTheme="majorBidi" w:hAnsiTheme="majorBidi" w:cstheme="majorBidi"/>
          <w:i/>
          <w:iCs/>
        </w:rPr>
        <w:t xml:space="preserve">In re Tesla Motors, Inc. </w:t>
      </w:r>
      <w:proofErr w:type="spellStart"/>
      <w:r w:rsidRPr="003170A4">
        <w:rPr>
          <w:rFonts w:asciiTheme="majorBidi" w:hAnsiTheme="majorBidi" w:cstheme="majorBidi"/>
          <w:i/>
          <w:iCs/>
        </w:rPr>
        <w:t>S'holder</w:t>
      </w:r>
      <w:proofErr w:type="spellEnd"/>
      <w:r w:rsidRPr="003170A4">
        <w:rPr>
          <w:rFonts w:asciiTheme="majorBidi" w:hAnsiTheme="majorBidi" w:cstheme="majorBidi"/>
          <w:i/>
          <w:iCs/>
        </w:rPr>
        <w:t xml:space="preserve"> Litig</w:t>
      </w:r>
      <w:r w:rsidRPr="003170A4">
        <w:rPr>
          <w:rFonts w:asciiTheme="majorBidi" w:hAnsiTheme="majorBidi" w:cstheme="majorBidi"/>
        </w:rPr>
        <w:t xml:space="preserve">., 298 A.3d 667, 700 (Del. 2023) (citing </w:t>
      </w:r>
      <w:r w:rsidRPr="003170A4">
        <w:rPr>
          <w:rFonts w:asciiTheme="majorBidi" w:hAnsiTheme="majorBidi" w:cstheme="majorBidi"/>
          <w:i/>
          <w:iCs/>
        </w:rPr>
        <w:t>Weinberger v. UOP, Inc</w:t>
      </w:r>
      <w:r w:rsidRPr="003170A4">
        <w:rPr>
          <w:rFonts w:asciiTheme="majorBidi" w:hAnsiTheme="majorBidi" w:cstheme="majorBidi"/>
        </w:rPr>
        <w:t xml:space="preserve">., 457 A.2d 701, 711 (Del. 1983)). </w:t>
      </w:r>
    </w:p>
  </w:footnote>
  <w:footnote w:id="254">
    <w:p w14:paraId="607E6476" w14:textId="77777777"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w:t>
      </w:r>
      <w:r w:rsidRPr="003170A4">
        <w:rPr>
          <w:rFonts w:asciiTheme="majorBidi" w:hAnsiTheme="majorBidi" w:cstheme="majorBidi"/>
          <w:i/>
          <w:iCs/>
        </w:rPr>
        <w:t xml:space="preserve">See </w:t>
      </w:r>
      <w:r w:rsidRPr="003170A4">
        <w:rPr>
          <w:rFonts w:asciiTheme="majorBidi" w:hAnsiTheme="majorBidi" w:cstheme="majorBidi"/>
        </w:rPr>
        <w:t xml:space="preserve">Ann Lipton, </w:t>
      </w:r>
      <w:r w:rsidRPr="003170A4">
        <w:rPr>
          <w:rFonts w:asciiTheme="majorBidi" w:hAnsiTheme="majorBidi" w:cstheme="majorBidi"/>
          <w:i/>
          <w:iCs/>
        </w:rPr>
        <w:t>The Bill Comes Due</w:t>
      </w:r>
      <w:r w:rsidRPr="003170A4">
        <w:rPr>
          <w:rFonts w:asciiTheme="majorBidi" w:hAnsiTheme="majorBidi" w:cstheme="majorBidi"/>
        </w:rPr>
        <w:t xml:space="preserve">, https://blogs.law.ox.ac.uk/oblb/blog-post/2024/02/bill-comes-due (“What motivates [Musk] psychologically isn’t (just) the money, but things he views as outrageous challenges.  Maybe by </w:t>
      </w:r>
      <w:proofErr w:type="spellStart"/>
      <w:r w:rsidRPr="003170A4">
        <w:rPr>
          <w:rFonts w:asciiTheme="majorBidi" w:hAnsiTheme="majorBidi" w:cstheme="majorBidi"/>
        </w:rPr>
        <w:t>gameifying</w:t>
      </w:r>
      <w:proofErr w:type="spellEnd"/>
      <w:r w:rsidRPr="003170A4">
        <w:rPr>
          <w:rFonts w:asciiTheme="majorBidi" w:hAnsiTheme="majorBidi" w:cstheme="majorBidi"/>
        </w:rPr>
        <w:t xml:space="preserve"> his compensation package—presenting him with impossible goals and then, when he met them, ringing bells and showering confetti and gold coins—the board really </w:t>
      </w:r>
      <w:r w:rsidRPr="003170A4">
        <w:rPr>
          <w:rFonts w:asciiTheme="majorBidi" w:hAnsiTheme="majorBidi" w:cstheme="majorBidi"/>
          <w:i/>
          <w:iCs/>
        </w:rPr>
        <w:t>did </w:t>
      </w:r>
      <w:r w:rsidRPr="003170A4">
        <w:rPr>
          <w:rFonts w:asciiTheme="majorBidi" w:hAnsiTheme="majorBidi" w:cstheme="majorBidi"/>
        </w:rPr>
        <w:t xml:space="preserve">extract maximum performance.”). </w:t>
      </w:r>
    </w:p>
  </w:footnote>
  <w:footnote w:id="255">
    <w:p w14:paraId="3A5E358F" w14:textId="2CB1AFBA" w:rsidR="00B54C7C" w:rsidRPr="003170A4" w:rsidRDefault="00B54C7C" w:rsidP="007442E8">
      <w:pPr>
        <w:pStyle w:val="FootnoteText"/>
        <w:jc w:val="both"/>
        <w:rPr>
          <w:rFonts w:asciiTheme="majorBidi" w:hAnsiTheme="majorBidi" w:cstheme="majorBidi"/>
        </w:rPr>
      </w:pPr>
      <w:r w:rsidRPr="003170A4">
        <w:rPr>
          <w:rStyle w:val="FootnoteReference"/>
          <w:rFonts w:asciiTheme="majorBidi" w:hAnsiTheme="majorBidi" w:cstheme="majorBidi"/>
        </w:rPr>
        <w:footnoteRef/>
      </w:r>
      <w:r w:rsidRPr="003170A4">
        <w:rPr>
          <w:rFonts w:asciiTheme="majorBidi" w:hAnsiTheme="majorBidi" w:cstheme="majorBidi"/>
        </w:rPr>
        <w:t xml:space="preserve"> To illustrate how our proposed framework could work, we assume that the court would consider whether </w:t>
      </w:r>
      <w:r w:rsidRPr="003170A4">
        <w:rPr>
          <w:rFonts w:asciiTheme="majorBidi" w:hAnsiTheme="majorBidi" w:cstheme="majorBidi"/>
          <w:i/>
          <w:iCs/>
        </w:rPr>
        <w:t>MFW</w:t>
      </w:r>
      <w:r w:rsidRPr="003170A4">
        <w:rPr>
          <w:rFonts w:asciiTheme="majorBidi" w:hAnsiTheme="majorBidi" w:cstheme="majorBidi"/>
        </w:rPr>
        <w:t xml:space="preserve"> cleansing applies. As explained above, however, the </w:t>
      </w:r>
      <w:r w:rsidRPr="003170A4">
        <w:rPr>
          <w:rFonts w:asciiTheme="majorBidi" w:hAnsiTheme="majorBidi" w:cstheme="majorBidi"/>
          <w:i/>
          <w:iCs/>
        </w:rPr>
        <w:t xml:space="preserve">Tornetta </w:t>
      </w:r>
      <w:r w:rsidRPr="003170A4">
        <w:rPr>
          <w:rFonts w:asciiTheme="majorBidi" w:hAnsiTheme="majorBidi" w:cstheme="majorBidi"/>
        </w:rPr>
        <w:t xml:space="preserve">decision focused only on the cleansing effect of the shareholder vote.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F1C"/>
    <w:multiLevelType w:val="hybridMultilevel"/>
    <w:tmpl w:val="9EA6B0D0"/>
    <w:lvl w:ilvl="0" w:tplc="22BE3F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15162"/>
    <w:multiLevelType w:val="hybridMultilevel"/>
    <w:tmpl w:val="6DC2223C"/>
    <w:lvl w:ilvl="0" w:tplc="740686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46CB5"/>
    <w:multiLevelType w:val="hybridMultilevel"/>
    <w:tmpl w:val="2C90DED2"/>
    <w:lvl w:ilvl="0" w:tplc="9A3EC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43C47"/>
    <w:multiLevelType w:val="hybridMultilevel"/>
    <w:tmpl w:val="8BBE987A"/>
    <w:lvl w:ilvl="0" w:tplc="8A988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34784"/>
    <w:multiLevelType w:val="hybridMultilevel"/>
    <w:tmpl w:val="06A8B592"/>
    <w:lvl w:ilvl="0" w:tplc="0F546276">
      <w:start w:val="1"/>
      <w:numFmt w:val="upperRoman"/>
      <w:pStyle w:val="Heading1"/>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005944"/>
    <w:multiLevelType w:val="hybridMultilevel"/>
    <w:tmpl w:val="C4F8F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34245"/>
    <w:multiLevelType w:val="hybridMultilevel"/>
    <w:tmpl w:val="EF762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87F"/>
    <w:multiLevelType w:val="hybridMultilevel"/>
    <w:tmpl w:val="CECE39E0"/>
    <w:lvl w:ilvl="0" w:tplc="E15418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3223"/>
    <w:multiLevelType w:val="hybridMultilevel"/>
    <w:tmpl w:val="3AAE7396"/>
    <w:lvl w:ilvl="0" w:tplc="B8D4447E">
      <w:start w:val="1"/>
      <w:numFmt w:val="bullet"/>
      <w:lvlText w:val="•"/>
      <w:lvlJc w:val="left"/>
      <w:pPr>
        <w:tabs>
          <w:tab w:val="num" w:pos="720"/>
        </w:tabs>
        <w:ind w:left="720" w:hanging="360"/>
      </w:pPr>
      <w:rPr>
        <w:rFonts w:ascii="Arial" w:hAnsi="Arial" w:hint="default"/>
      </w:rPr>
    </w:lvl>
    <w:lvl w:ilvl="1" w:tplc="FBEE8D34" w:tentative="1">
      <w:start w:val="1"/>
      <w:numFmt w:val="bullet"/>
      <w:lvlText w:val="•"/>
      <w:lvlJc w:val="left"/>
      <w:pPr>
        <w:tabs>
          <w:tab w:val="num" w:pos="1440"/>
        </w:tabs>
        <w:ind w:left="1440" w:hanging="360"/>
      </w:pPr>
      <w:rPr>
        <w:rFonts w:ascii="Arial" w:hAnsi="Arial" w:hint="default"/>
      </w:rPr>
    </w:lvl>
    <w:lvl w:ilvl="2" w:tplc="6548E59E" w:tentative="1">
      <w:start w:val="1"/>
      <w:numFmt w:val="bullet"/>
      <w:lvlText w:val="•"/>
      <w:lvlJc w:val="left"/>
      <w:pPr>
        <w:tabs>
          <w:tab w:val="num" w:pos="2160"/>
        </w:tabs>
        <w:ind w:left="2160" w:hanging="360"/>
      </w:pPr>
      <w:rPr>
        <w:rFonts w:ascii="Arial" w:hAnsi="Arial" w:hint="default"/>
      </w:rPr>
    </w:lvl>
    <w:lvl w:ilvl="3" w:tplc="9686FDE2" w:tentative="1">
      <w:start w:val="1"/>
      <w:numFmt w:val="bullet"/>
      <w:lvlText w:val="•"/>
      <w:lvlJc w:val="left"/>
      <w:pPr>
        <w:tabs>
          <w:tab w:val="num" w:pos="2880"/>
        </w:tabs>
        <w:ind w:left="2880" w:hanging="360"/>
      </w:pPr>
      <w:rPr>
        <w:rFonts w:ascii="Arial" w:hAnsi="Arial" w:hint="default"/>
      </w:rPr>
    </w:lvl>
    <w:lvl w:ilvl="4" w:tplc="6ACA3B6E" w:tentative="1">
      <w:start w:val="1"/>
      <w:numFmt w:val="bullet"/>
      <w:lvlText w:val="•"/>
      <w:lvlJc w:val="left"/>
      <w:pPr>
        <w:tabs>
          <w:tab w:val="num" w:pos="3600"/>
        </w:tabs>
        <w:ind w:left="3600" w:hanging="360"/>
      </w:pPr>
      <w:rPr>
        <w:rFonts w:ascii="Arial" w:hAnsi="Arial" w:hint="default"/>
      </w:rPr>
    </w:lvl>
    <w:lvl w:ilvl="5" w:tplc="4BDE1858" w:tentative="1">
      <w:start w:val="1"/>
      <w:numFmt w:val="bullet"/>
      <w:lvlText w:val="•"/>
      <w:lvlJc w:val="left"/>
      <w:pPr>
        <w:tabs>
          <w:tab w:val="num" w:pos="4320"/>
        </w:tabs>
        <w:ind w:left="4320" w:hanging="360"/>
      </w:pPr>
      <w:rPr>
        <w:rFonts w:ascii="Arial" w:hAnsi="Arial" w:hint="default"/>
      </w:rPr>
    </w:lvl>
    <w:lvl w:ilvl="6" w:tplc="3B58F026" w:tentative="1">
      <w:start w:val="1"/>
      <w:numFmt w:val="bullet"/>
      <w:lvlText w:val="•"/>
      <w:lvlJc w:val="left"/>
      <w:pPr>
        <w:tabs>
          <w:tab w:val="num" w:pos="5040"/>
        </w:tabs>
        <w:ind w:left="5040" w:hanging="360"/>
      </w:pPr>
      <w:rPr>
        <w:rFonts w:ascii="Arial" w:hAnsi="Arial" w:hint="default"/>
      </w:rPr>
    </w:lvl>
    <w:lvl w:ilvl="7" w:tplc="6A50FEC0" w:tentative="1">
      <w:start w:val="1"/>
      <w:numFmt w:val="bullet"/>
      <w:lvlText w:val="•"/>
      <w:lvlJc w:val="left"/>
      <w:pPr>
        <w:tabs>
          <w:tab w:val="num" w:pos="5760"/>
        </w:tabs>
        <w:ind w:left="5760" w:hanging="360"/>
      </w:pPr>
      <w:rPr>
        <w:rFonts w:ascii="Arial" w:hAnsi="Arial" w:hint="default"/>
      </w:rPr>
    </w:lvl>
    <w:lvl w:ilvl="8" w:tplc="A45620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6879CC"/>
    <w:multiLevelType w:val="multilevel"/>
    <w:tmpl w:val="B382F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7D6777"/>
    <w:multiLevelType w:val="hybridMultilevel"/>
    <w:tmpl w:val="86A28BDA"/>
    <w:lvl w:ilvl="0" w:tplc="4710C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26539"/>
    <w:multiLevelType w:val="hybridMultilevel"/>
    <w:tmpl w:val="06D20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B007A2"/>
    <w:multiLevelType w:val="multilevel"/>
    <w:tmpl w:val="EA22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EF6E9E"/>
    <w:multiLevelType w:val="hybridMultilevel"/>
    <w:tmpl w:val="4420EC7C"/>
    <w:lvl w:ilvl="0" w:tplc="6012FAFC">
      <w:start w:val="2"/>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1E266A"/>
    <w:multiLevelType w:val="hybridMultilevel"/>
    <w:tmpl w:val="B76C1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51E4A"/>
    <w:multiLevelType w:val="hybridMultilevel"/>
    <w:tmpl w:val="4C826796"/>
    <w:lvl w:ilvl="0" w:tplc="5B4C074C">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15:restartNumberingAfterBreak="0">
    <w:nsid w:val="36F4724B"/>
    <w:multiLevelType w:val="hybridMultilevel"/>
    <w:tmpl w:val="CABC0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A386C"/>
    <w:multiLevelType w:val="hybridMultilevel"/>
    <w:tmpl w:val="8AE4AD96"/>
    <w:lvl w:ilvl="0" w:tplc="02B673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7D4DCF"/>
    <w:multiLevelType w:val="hybridMultilevel"/>
    <w:tmpl w:val="82F6B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8B532F"/>
    <w:multiLevelType w:val="hybridMultilevel"/>
    <w:tmpl w:val="22465062"/>
    <w:lvl w:ilvl="0" w:tplc="C5222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AE7AF9"/>
    <w:multiLevelType w:val="hybridMultilevel"/>
    <w:tmpl w:val="DC508F46"/>
    <w:lvl w:ilvl="0" w:tplc="1B3C439A">
      <w:start w:val="1"/>
      <w:numFmt w:val="low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480B248E"/>
    <w:multiLevelType w:val="hybridMultilevel"/>
    <w:tmpl w:val="8CF4D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20AD2"/>
    <w:multiLevelType w:val="hybridMultilevel"/>
    <w:tmpl w:val="83BEB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EA45A3"/>
    <w:multiLevelType w:val="hybridMultilevel"/>
    <w:tmpl w:val="610C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956D0"/>
    <w:multiLevelType w:val="hybridMultilevel"/>
    <w:tmpl w:val="F0464EB6"/>
    <w:lvl w:ilvl="0" w:tplc="A2A2A386">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5" w15:restartNumberingAfterBreak="0">
    <w:nsid w:val="51421269"/>
    <w:multiLevelType w:val="hybridMultilevel"/>
    <w:tmpl w:val="5A04D608"/>
    <w:lvl w:ilvl="0" w:tplc="357E8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86050"/>
    <w:multiLevelType w:val="hybridMultilevel"/>
    <w:tmpl w:val="3AF8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90098"/>
    <w:multiLevelType w:val="hybridMultilevel"/>
    <w:tmpl w:val="3F6C876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F4327"/>
    <w:multiLevelType w:val="hybridMultilevel"/>
    <w:tmpl w:val="5922C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A7CB3"/>
    <w:multiLevelType w:val="hybridMultilevel"/>
    <w:tmpl w:val="7B20E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50449"/>
    <w:multiLevelType w:val="hybridMultilevel"/>
    <w:tmpl w:val="1D20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20BA4"/>
    <w:multiLevelType w:val="hybridMultilevel"/>
    <w:tmpl w:val="0D6E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23CC3"/>
    <w:multiLevelType w:val="hybridMultilevel"/>
    <w:tmpl w:val="B170BD58"/>
    <w:lvl w:ilvl="0" w:tplc="AF9C9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302CD"/>
    <w:multiLevelType w:val="hybridMultilevel"/>
    <w:tmpl w:val="B940654C"/>
    <w:lvl w:ilvl="0" w:tplc="D6609FE6">
      <w:start w:val="1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91206"/>
    <w:multiLevelType w:val="hybridMultilevel"/>
    <w:tmpl w:val="63F06B92"/>
    <w:lvl w:ilvl="0" w:tplc="E5044B8A">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16cid:durableId="1621644722">
    <w:abstractNumId w:val="12"/>
  </w:num>
  <w:num w:numId="2" w16cid:durableId="409691612">
    <w:abstractNumId w:val="9"/>
  </w:num>
  <w:num w:numId="3" w16cid:durableId="323360910">
    <w:abstractNumId w:val="33"/>
  </w:num>
  <w:num w:numId="4" w16cid:durableId="176819802">
    <w:abstractNumId w:val="32"/>
  </w:num>
  <w:num w:numId="5" w16cid:durableId="637226538">
    <w:abstractNumId w:val="21"/>
  </w:num>
  <w:num w:numId="6" w16cid:durableId="1050574292">
    <w:abstractNumId w:val="16"/>
  </w:num>
  <w:num w:numId="7" w16cid:durableId="1393234843">
    <w:abstractNumId w:val="5"/>
  </w:num>
  <w:num w:numId="8" w16cid:durableId="1542134817">
    <w:abstractNumId w:val="23"/>
  </w:num>
  <w:num w:numId="9" w16cid:durableId="593365663">
    <w:abstractNumId w:val="31"/>
  </w:num>
  <w:num w:numId="10" w16cid:durableId="562060507">
    <w:abstractNumId w:val="26"/>
  </w:num>
  <w:num w:numId="11" w16cid:durableId="571819910">
    <w:abstractNumId w:val="30"/>
  </w:num>
  <w:num w:numId="12" w16cid:durableId="171459876">
    <w:abstractNumId w:val="22"/>
  </w:num>
  <w:num w:numId="13" w16cid:durableId="1137603416">
    <w:abstractNumId w:val="18"/>
  </w:num>
  <w:num w:numId="14" w16cid:durableId="164592200">
    <w:abstractNumId w:val="4"/>
  </w:num>
  <w:num w:numId="15" w16cid:durableId="267851499">
    <w:abstractNumId w:val="29"/>
  </w:num>
  <w:num w:numId="16" w16cid:durableId="1378437191">
    <w:abstractNumId w:val="14"/>
  </w:num>
  <w:num w:numId="17" w16cid:durableId="1645115655">
    <w:abstractNumId w:val="2"/>
  </w:num>
  <w:num w:numId="18" w16cid:durableId="1112549693">
    <w:abstractNumId w:val="11"/>
  </w:num>
  <w:num w:numId="19" w16cid:durableId="96679341">
    <w:abstractNumId w:val="17"/>
  </w:num>
  <w:num w:numId="20" w16cid:durableId="1283733087">
    <w:abstractNumId w:val="0"/>
  </w:num>
  <w:num w:numId="21" w16cid:durableId="1763644088">
    <w:abstractNumId w:val="27"/>
  </w:num>
  <w:num w:numId="22" w16cid:durableId="1791972825">
    <w:abstractNumId w:val="13"/>
  </w:num>
  <w:num w:numId="23" w16cid:durableId="1181821075">
    <w:abstractNumId w:val="10"/>
  </w:num>
  <w:num w:numId="24" w16cid:durableId="973830799">
    <w:abstractNumId w:val="7"/>
  </w:num>
  <w:num w:numId="25" w16cid:durableId="399444523">
    <w:abstractNumId w:val="34"/>
  </w:num>
  <w:num w:numId="26" w16cid:durableId="1915578571">
    <w:abstractNumId w:val="24"/>
  </w:num>
  <w:num w:numId="27" w16cid:durableId="1070929573">
    <w:abstractNumId w:val="20"/>
  </w:num>
  <w:num w:numId="28" w16cid:durableId="1758404081">
    <w:abstractNumId w:val="15"/>
  </w:num>
  <w:num w:numId="29" w16cid:durableId="103237251">
    <w:abstractNumId w:val="25"/>
  </w:num>
  <w:num w:numId="30" w16cid:durableId="1642877983">
    <w:abstractNumId w:val="1"/>
  </w:num>
  <w:num w:numId="31" w16cid:durableId="571693792">
    <w:abstractNumId w:val="3"/>
  </w:num>
  <w:num w:numId="32" w16cid:durableId="1097096748">
    <w:abstractNumId w:val="8"/>
  </w:num>
  <w:num w:numId="33" w16cid:durableId="213276376">
    <w:abstractNumId w:val="19"/>
  </w:num>
  <w:num w:numId="34" w16cid:durableId="2143955594">
    <w:abstractNumId w:val="28"/>
  </w:num>
  <w:num w:numId="35" w16cid:durableId="1546218695">
    <w:abstractNumId w:val="4"/>
    <w:lvlOverride w:ilvl="0">
      <w:startOverride w:val="3"/>
    </w:lvlOverride>
  </w:num>
  <w:num w:numId="36" w16cid:durableId="356855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45"/>
    <w:rsid w:val="00000324"/>
    <w:rsid w:val="00000594"/>
    <w:rsid w:val="00000673"/>
    <w:rsid w:val="00001D2A"/>
    <w:rsid w:val="00001FBB"/>
    <w:rsid w:val="000026D7"/>
    <w:rsid w:val="00002AE1"/>
    <w:rsid w:val="00002F88"/>
    <w:rsid w:val="00002FD2"/>
    <w:rsid w:val="00003265"/>
    <w:rsid w:val="000039DA"/>
    <w:rsid w:val="000040F4"/>
    <w:rsid w:val="00004CAB"/>
    <w:rsid w:val="0000561C"/>
    <w:rsid w:val="00005664"/>
    <w:rsid w:val="00005D0B"/>
    <w:rsid w:val="00006392"/>
    <w:rsid w:val="00006680"/>
    <w:rsid w:val="00006946"/>
    <w:rsid w:val="00007B3C"/>
    <w:rsid w:val="00007CA3"/>
    <w:rsid w:val="000104E0"/>
    <w:rsid w:val="0001145C"/>
    <w:rsid w:val="00013AFC"/>
    <w:rsid w:val="0001405D"/>
    <w:rsid w:val="00014E34"/>
    <w:rsid w:val="00015B38"/>
    <w:rsid w:val="00015E08"/>
    <w:rsid w:val="000162CD"/>
    <w:rsid w:val="00016598"/>
    <w:rsid w:val="0001671E"/>
    <w:rsid w:val="00016EB4"/>
    <w:rsid w:val="00017260"/>
    <w:rsid w:val="000174DC"/>
    <w:rsid w:val="0001770C"/>
    <w:rsid w:val="0001798D"/>
    <w:rsid w:val="00020F32"/>
    <w:rsid w:val="000212B6"/>
    <w:rsid w:val="0002149F"/>
    <w:rsid w:val="000225E7"/>
    <w:rsid w:val="000226CB"/>
    <w:rsid w:val="00022A2D"/>
    <w:rsid w:val="00023672"/>
    <w:rsid w:val="000240FA"/>
    <w:rsid w:val="00024BC0"/>
    <w:rsid w:val="00024D7F"/>
    <w:rsid w:val="00024F3F"/>
    <w:rsid w:val="00025A19"/>
    <w:rsid w:val="00025B11"/>
    <w:rsid w:val="00025E33"/>
    <w:rsid w:val="00026B2C"/>
    <w:rsid w:val="00026B9F"/>
    <w:rsid w:val="00030615"/>
    <w:rsid w:val="000308C5"/>
    <w:rsid w:val="00030E68"/>
    <w:rsid w:val="0003125A"/>
    <w:rsid w:val="0003127D"/>
    <w:rsid w:val="00031CAD"/>
    <w:rsid w:val="000320CF"/>
    <w:rsid w:val="00032524"/>
    <w:rsid w:val="000327B7"/>
    <w:rsid w:val="00032A73"/>
    <w:rsid w:val="0003329B"/>
    <w:rsid w:val="00033465"/>
    <w:rsid w:val="0003394F"/>
    <w:rsid w:val="00033EAB"/>
    <w:rsid w:val="00034879"/>
    <w:rsid w:val="00034DC1"/>
    <w:rsid w:val="00034F1B"/>
    <w:rsid w:val="0003553B"/>
    <w:rsid w:val="00036269"/>
    <w:rsid w:val="00036282"/>
    <w:rsid w:val="000363F5"/>
    <w:rsid w:val="000369EF"/>
    <w:rsid w:val="00036EBC"/>
    <w:rsid w:val="000377CA"/>
    <w:rsid w:val="00037A24"/>
    <w:rsid w:val="00037A85"/>
    <w:rsid w:val="00037C92"/>
    <w:rsid w:val="000402EE"/>
    <w:rsid w:val="0004053D"/>
    <w:rsid w:val="00040E14"/>
    <w:rsid w:val="000413C2"/>
    <w:rsid w:val="00041566"/>
    <w:rsid w:val="00041EF4"/>
    <w:rsid w:val="000420B6"/>
    <w:rsid w:val="00042B0C"/>
    <w:rsid w:val="000433E7"/>
    <w:rsid w:val="00043491"/>
    <w:rsid w:val="00043A5D"/>
    <w:rsid w:val="00043B01"/>
    <w:rsid w:val="00044025"/>
    <w:rsid w:val="0004480E"/>
    <w:rsid w:val="00044DED"/>
    <w:rsid w:val="000450C0"/>
    <w:rsid w:val="000454B3"/>
    <w:rsid w:val="00045A25"/>
    <w:rsid w:val="00045C90"/>
    <w:rsid w:val="000463D7"/>
    <w:rsid w:val="00047821"/>
    <w:rsid w:val="00050196"/>
    <w:rsid w:val="00050431"/>
    <w:rsid w:val="000505E3"/>
    <w:rsid w:val="0005065D"/>
    <w:rsid w:val="00051024"/>
    <w:rsid w:val="000529F4"/>
    <w:rsid w:val="00052BC3"/>
    <w:rsid w:val="0005407E"/>
    <w:rsid w:val="000540A8"/>
    <w:rsid w:val="000555F0"/>
    <w:rsid w:val="000557BA"/>
    <w:rsid w:val="00055D20"/>
    <w:rsid w:val="00055DB1"/>
    <w:rsid w:val="0005662A"/>
    <w:rsid w:val="00056676"/>
    <w:rsid w:val="00056C2D"/>
    <w:rsid w:val="000574E5"/>
    <w:rsid w:val="00057AE1"/>
    <w:rsid w:val="0006067C"/>
    <w:rsid w:val="00060718"/>
    <w:rsid w:val="00060C54"/>
    <w:rsid w:val="00060D32"/>
    <w:rsid w:val="00060D67"/>
    <w:rsid w:val="00060D93"/>
    <w:rsid w:val="0006114B"/>
    <w:rsid w:val="0006135C"/>
    <w:rsid w:val="00062091"/>
    <w:rsid w:val="00062349"/>
    <w:rsid w:val="000624DD"/>
    <w:rsid w:val="00062560"/>
    <w:rsid w:val="00062599"/>
    <w:rsid w:val="00062BC2"/>
    <w:rsid w:val="00062EC7"/>
    <w:rsid w:val="0006371D"/>
    <w:rsid w:val="000637C6"/>
    <w:rsid w:val="00063DDC"/>
    <w:rsid w:val="00064948"/>
    <w:rsid w:val="0006525D"/>
    <w:rsid w:val="0006580E"/>
    <w:rsid w:val="0006617A"/>
    <w:rsid w:val="00066A91"/>
    <w:rsid w:val="00066D3A"/>
    <w:rsid w:val="00066D8D"/>
    <w:rsid w:val="00066E01"/>
    <w:rsid w:val="00067520"/>
    <w:rsid w:val="000700C1"/>
    <w:rsid w:val="00070654"/>
    <w:rsid w:val="00070CE2"/>
    <w:rsid w:val="00071014"/>
    <w:rsid w:val="000716C9"/>
    <w:rsid w:val="00071EC0"/>
    <w:rsid w:val="000720DB"/>
    <w:rsid w:val="00073262"/>
    <w:rsid w:val="000735A0"/>
    <w:rsid w:val="00073C40"/>
    <w:rsid w:val="00073CC6"/>
    <w:rsid w:val="000740B9"/>
    <w:rsid w:val="0007448F"/>
    <w:rsid w:val="00074C7C"/>
    <w:rsid w:val="00074F6A"/>
    <w:rsid w:val="000750F6"/>
    <w:rsid w:val="00075196"/>
    <w:rsid w:val="000758A6"/>
    <w:rsid w:val="000759A8"/>
    <w:rsid w:val="0007622A"/>
    <w:rsid w:val="00077447"/>
    <w:rsid w:val="00077480"/>
    <w:rsid w:val="0007780C"/>
    <w:rsid w:val="00077C1B"/>
    <w:rsid w:val="000802A8"/>
    <w:rsid w:val="0008096F"/>
    <w:rsid w:val="0008153C"/>
    <w:rsid w:val="00081D73"/>
    <w:rsid w:val="00081DF4"/>
    <w:rsid w:val="0008226E"/>
    <w:rsid w:val="00082B1A"/>
    <w:rsid w:val="00082B42"/>
    <w:rsid w:val="00082BDA"/>
    <w:rsid w:val="00082F13"/>
    <w:rsid w:val="00083953"/>
    <w:rsid w:val="00084104"/>
    <w:rsid w:val="000845EC"/>
    <w:rsid w:val="00084866"/>
    <w:rsid w:val="000848BC"/>
    <w:rsid w:val="0008531F"/>
    <w:rsid w:val="00086B70"/>
    <w:rsid w:val="000870A2"/>
    <w:rsid w:val="0008781C"/>
    <w:rsid w:val="00087D2A"/>
    <w:rsid w:val="00090250"/>
    <w:rsid w:val="000902DB"/>
    <w:rsid w:val="00092776"/>
    <w:rsid w:val="00093209"/>
    <w:rsid w:val="00093ADA"/>
    <w:rsid w:val="00093E94"/>
    <w:rsid w:val="00094188"/>
    <w:rsid w:val="00094554"/>
    <w:rsid w:val="0009457B"/>
    <w:rsid w:val="000945DC"/>
    <w:rsid w:val="0009492F"/>
    <w:rsid w:val="00094E4F"/>
    <w:rsid w:val="0009697F"/>
    <w:rsid w:val="00096A10"/>
    <w:rsid w:val="00096C68"/>
    <w:rsid w:val="00096E5A"/>
    <w:rsid w:val="000A0457"/>
    <w:rsid w:val="000A046E"/>
    <w:rsid w:val="000A0494"/>
    <w:rsid w:val="000A04D9"/>
    <w:rsid w:val="000A103C"/>
    <w:rsid w:val="000A1139"/>
    <w:rsid w:val="000A13F1"/>
    <w:rsid w:val="000A192A"/>
    <w:rsid w:val="000A197A"/>
    <w:rsid w:val="000A2020"/>
    <w:rsid w:val="000A302C"/>
    <w:rsid w:val="000A33A7"/>
    <w:rsid w:val="000A34D2"/>
    <w:rsid w:val="000A3671"/>
    <w:rsid w:val="000A3EC2"/>
    <w:rsid w:val="000A4244"/>
    <w:rsid w:val="000A4E31"/>
    <w:rsid w:val="000A4F36"/>
    <w:rsid w:val="000A52C8"/>
    <w:rsid w:val="000A5E4F"/>
    <w:rsid w:val="000A6040"/>
    <w:rsid w:val="000A70A2"/>
    <w:rsid w:val="000A7211"/>
    <w:rsid w:val="000A72BB"/>
    <w:rsid w:val="000A7646"/>
    <w:rsid w:val="000A7E59"/>
    <w:rsid w:val="000B018C"/>
    <w:rsid w:val="000B0385"/>
    <w:rsid w:val="000B07A3"/>
    <w:rsid w:val="000B0DF1"/>
    <w:rsid w:val="000B0F38"/>
    <w:rsid w:val="000B0FD0"/>
    <w:rsid w:val="000B1718"/>
    <w:rsid w:val="000B1CA9"/>
    <w:rsid w:val="000B20D2"/>
    <w:rsid w:val="000B262C"/>
    <w:rsid w:val="000B2690"/>
    <w:rsid w:val="000B3860"/>
    <w:rsid w:val="000B4134"/>
    <w:rsid w:val="000B4338"/>
    <w:rsid w:val="000B438E"/>
    <w:rsid w:val="000B45CC"/>
    <w:rsid w:val="000B5006"/>
    <w:rsid w:val="000B51B9"/>
    <w:rsid w:val="000B696C"/>
    <w:rsid w:val="000B7834"/>
    <w:rsid w:val="000B79F6"/>
    <w:rsid w:val="000C08B1"/>
    <w:rsid w:val="000C1809"/>
    <w:rsid w:val="000C189C"/>
    <w:rsid w:val="000C1A53"/>
    <w:rsid w:val="000C1EF1"/>
    <w:rsid w:val="000C1F74"/>
    <w:rsid w:val="000C1FCE"/>
    <w:rsid w:val="000C2050"/>
    <w:rsid w:val="000C30E5"/>
    <w:rsid w:val="000C3814"/>
    <w:rsid w:val="000C395F"/>
    <w:rsid w:val="000C3DAD"/>
    <w:rsid w:val="000C4433"/>
    <w:rsid w:val="000C46C2"/>
    <w:rsid w:val="000C52B5"/>
    <w:rsid w:val="000C5B0C"/>
    <w:rsid w:val="000C6216"/>
    <w:rsid w:val="000C62E6"/>
    <w:rsid w:val="000C6B35"/>
    <w:rsid w:val="000C7588"/>
    <w:rsid w:val="000C7D68"/>
    <w:rsid w:val="000C7F65"/>
    <w:rsid w:val="000D01D6"/>
    <w:rsid w:val="000D0D8E"/>
    <w:rsid w:val="000D1187"/>
    <w:rsid w:val="000D16BE"/>
    <w:rsid w:val="000D25A2"/>
    <w:rsid w:val="000D3450"/>
    <w:rsid w:val="000D3610"/>
    <w:rsid w:val="000D36D0"/>
    <w:rsid w:val="000D38C2"/>
    <w:rsid w:val="000D4497"/>
    <w:rsid w:val="000D4737"/>
    <w:rsid w:val="000D4A46"/>
    <w:rsid w:val="000D52D1"/>
    <w:rsid w:val="000D5CB1"/>
    <w:rsid w:val="000D78B5"/>
    <w:rsid w:val="000D7AA0"/>
    <w:rsid w:val="000D7DFA"/>
    <w:rsid w:val="000E0577"/>
    <w:rsid w:val="000E1BF2"/>
    <w:rsid w:val="000E1CDE"/>
    <w:rsid w:val="000E20F8"/>
    <w:rsid w:val="000E24B4"/>
    <w:rsid w:val="000E2CE9"/>
    <w:rsid w:val="000E3DEE"/>
    <w:rsid w:val="000E495F"/>
    <w:rsid w:val="000E534E"/>
    <w:rsid w:val="000E545E"/>
    <w:rsid w:val="000E589C"/>
    <w:rsid w:val="000E5CB1"/>
    <w:rsid w:val="000E6447"/>
    <w:rsid w:val="000E66C7"/>
    <w:rsid w:val="000E6CDD"/>
    <w:rsid w:val="000E6FAD"/>
    <w:rsid w:val="000F010F"/>
    <w:rsid w:val="000F0C7B"/>
    <w:rsid w:val="000F10CF"/>
    <w:rsid w:val="000F15D6"/>
    <w:rsid w:val="000F2625"/>
    <w:rsid w:val="000F313F"/>
    <w:rsid w:val="000F46EE"/>
    <w:rsid w:val="000F5161"/>
    <w:rsid w:val="000F61AE"/>
    <w:rsid w:val="000F6344"/>
    <w:rsid w:val="000F68C2"/>
    <w:rsid w:val="000F7577"/>
    <w:rsid w:val="00100221"/>
    <w:rsid w:val="00100AED"/>
    <w:rsid w:val="0010137F"/>
    <w:rsid w:val="00101BD7"/>
    <w:rsid w:val="00101FF7"/>
    <w:rsid w:val="00102179"/>
    <w:rsid w:val="0010240C"/>
    <w:rsid w:val="00102761"/>
    <w:rsid w:val="00102FC4"/>
    <w:rsid w:val="00103991"/>
    <w:rsid w:val="00103A87"/>
    <w:rsid w:val="00104649"/>
    <w:rsid w:val="00104764"/>
    <w:rsid w:val="001051D1"/>
    <w:rsid w:val="001055BE"/>
    <w:rsid w:val="001060F0"/>
    <w:rsid w:val="001063B9"/>
    <w:rsid w:val="00106A59"/>
    <w:rsid w:val="00106E76"/>
    <w:rsid w:val="00106E8A"/>
    <w:rsid w:val="001100EA"/>
    <w:rsid w:val="0011029B"/>
    <w:rsid w:val="00110A91"/>
    <w:rsid w:val="00110B26"/>
    <w:rsid w:val="00110EB8"/>
    <w:rsid w:val="00110EE1"/>
    <w:rsid w:val="001121A6"/>
    <w:rsid w:val="001121F5"/>
    <w:rsid w:val="00112C59"/>
    <w:rsid w:val="0011313C"/>
    <w:rsid w:val="00113305"/>
    <w:rsid w:val="0011385A"/>
    <w:rsid w:val="00113A1D"/>
    <w:rsid w:val="001143F7"/>
    <w:rsid w:val="001146C0"/>
    <w:rsid w:val="0011470D"/>
    <w:rsid w:val="00115D65"/>
    <w:rsid w:val="001161DB"/>
    <w:rsid w:val="0011791B"/>
    <w:rsid w:val="00117D47"/>
    <w:rsid w:val="00117F40"/>
    <w:rsid w:val="00117FC1"/>
    <w:rsid w:val="001200A5"/>
    <w:rsid w:val="00120C7F"/>
    <w:rsid w:val="0012193A"/>
    <w:rsid w:val="00121EA9"/>
    <w:rsid w:val="00123726"/>
    <w:rsid w:val="00123EFE"/>
    <w:rsid w:val="0012403B"/>
    <w:rsid w:val="00124198"/>
    <w:rsid w:val="0012444A"/>
    <w:rsid w:val="001249E1"/>
    <w:rsid w:val="00124D11"/>
    <w:rsid w:val="00124E96"/>
    <w:rsid w:val="00124F2F"/>
    <w:rsid w:val="0012528C"/>
    <w:rsid w:val="001253E1"/>
    <w:rsid w:val="00126FF5"/>
    <w:rsid w:val="00126FFE"/>
    <w:rsid w:val="00127324"/>
    <w:rsid w:val="001274A2"/>
    <w:rsid w:val="001301BF"/>
    <w:rsid w:val="0013094D"/>
    <w:rsid w:val="00130F6C"/>
    <w:rsid w:val="0013153A"/>
    <w:rsid w:val="0013228A"/>
    <w:rsid w:val="001322E1"/>
    <w:rsid w:val="001328B9"/>
    <w:rsid w:val="00132A99"/>
    <w:rsid w:val="0013321B"/>
    <w:rsid w:val="00133334"/>
    <w:rsid w:val="00133924"/>
    <w:rsid w:val="00133F3E"/>
    <w:rsid w:val="00134756"/>
    <w:rsid w:val="00134762"/>
    <w:rsid w:val="00134A51"/>
    <w:rsid w:val="00135011"/>
    <w:rsid w:val="00135C3E"/>
    <w:rsid w:val="00135ED9"/>
    <w:rsid w:val="001364B7"/>
    <w:rsid w:val="00136A84"/>
    <w:rsid w:val="00136E5F"/>
    <w:rsid w:val="0013724C"/>
    <w:rsid w:val="00140935"/>
    <w:rsid w:val="00140E7F"/>
    <w:rsid w:val="00140ED8"/>
    <w:rsid w:val="00141599"/>
    <w:rsid w:val="00141686"/>
    <w:rsid w:val="0014267F"/>
    <w:rsid w:val="00142EE7"/>
    <w:rsid w:val="00143033"/>
    <w:rsid w:val="00143A7B"/>
    <w:rsid w:val="00143D93"/>
    <w:rsid w:val="00143DDE"/>
    <w:rsid w:val="00144145"/>
    <w:rsid w:val="00144F22"/>
    <w:rsid w:val="00145052"/>
    <w:rsid w:val="0014599E"/>
    <w:rsid w:val="00146BEE"/>
    <w:rsid w:val="00146D96"/>
    <w:rsid w:val="001505FC"/>
    <w:rsid w:val="0015096C"/>
    <w:rsid w:val="001512BE"/>
    <w:rsid w:val="00151438"/>
    <w:rsid w:val="00151555"/>
    <w:rsid w:val="001515C6"/>
    <w:rsid w:val="00151BC8"/>
    <w:rsid w:val="001523AB"/>
    <w:rsid w:val="00152462"/>
    <w:rsid w:val="00152C57"/>
    <w:rsid w:val="00153F50"/>
    <w:rsid w:val="00154920"/>
    <w:rsid w:val="00154CCE"/>
    <w:rsid w:val="00154DFB"/>
    <w:rsid w:val="00155D3A"/>
    <w:rsid w:val="00161542"/>
    <w:rsid w:val="001625BA"/>
    <w:rsid w:val="00162678"/>
    <w:rsid w:val="00162E65"/>
    <w:rsid w:val="0016381A"/>
    <w:rsid w:val="001638F6"/>
    <w:rsid w:val="0016399F"/>
    <w:rsid w:val="00163D7E"/>
    <w:rsid w:val="00164152"/>
    <w:rsid w:val="001643E2"/>
    <w:rsid w:val="0016467F"/>
    <w:rsid w:val="0016480B"/>
    <w:rsid w:val="0016584D"/>
    <w:rsid w:val="0016609F"/>
    <w:rsid w:val="00166555"/>
    <w:rsid w:val="00167303"/>
    <w:rsid w:val="00167513"/>
    <w:rsid w:val="00167960"/>
    <w:rsid w:val="00167D4E"/>
    <w:rsid w:val="0017048C"/>
    <w:rsid w:val="00170511"/>
    <w:rsid w:val="00171996"/>
    <w:rsid w:val="00171A5D"/>
    <w:rsid w:val="001720D4"/>
    <w:rsid w:val="00172936"/>
    <w:rsid w:val="0017423A"/>
    <w:rsid w:val="00174389"/>
    <w:rsid w:val="001749D9"/>
    <w:rsid w:val="00174B21"/>
    <w:rsid w:val="00174D64"/>
    <w:rsid w:val="001758D9"/>
    <w:rsid w:val="001769AD"/>
    <w:rsid w:val="00176B8E"/>
    <w:rsid w:val="00176D6D"/>
    <w:rsid w:val="00176E5E"/>
    <w:rsid w:val="0017701B"/>
    <w:rsid w:val="001771F4"/>
    <w:rsid w:val="001774E0"/>
    <w:rsid w:val="0017797C"/>
    <w:rsid w:val="0018205D"/>
    <w:rsid w:val="001834F7"/>
    <w:rsid w:val="00184642"/>
    <w:rsid w:val="00184BBA"/>
    <w:rsid w:val="00184FFB"/>
    <w:rsid w:val="001852DE"/>
    <w:rsid w:val="0018532F"/>
    <w:rsid w:val="001853E1"/>
    <w:rsid w:val="0018547C"/>
    <w:rsid w:val="001858CB"/>
    <w:rsid w:val="00185B0F"/>
    <w:rsid w:val="00185DDA"/>
    <w:rsid w:val="0018617D"/>
    <w:rsid w:val="001861B5"/>
    <w:rsid w:val="00186F44"/>
    <w:rsid w:val="0019004F"/>
    <w:rsid w:val="00190FD8"/>
    <w:rsid w:val="00191520"/>
    <w:rsid w:val="00191A2E"/>
    <w:rsid w:val="0019226E"/>
    <w:rsid w:val="001925D1"/>
    <w:rsid w:val="001926D9"/>
    <w:rsid w:val="00192734"/>
    <w:rsid w:val="0019296F"/>
    <w:rsid w:val="0019382E"/>
    <w:rsid w:val="00193D34"/>
    <w:rsid w:val="001942DC"/>
    <w:rsid w:val="001947CB"/>
    <w:rsid w:val="00194841"/>
    <w:rsid w:val="001948A9"/>
    <w:rsid w:val="00194C06"/>
    <w:rsid w:val="001953A9"/>
    <w:rsid w:val="001960AD"/>
    <w:rsid w:val="0019616D"/>
    <w:rsid w:val="0019623A"/>
    <w:rsid w:val="001966C1"/>
    <w:rsid w:val="00196E59"/>
    <w:rsid w:val="00197CEE"/>
    <w:rsid w:val="001A08C8"/>
    <w:rsid w:val="001A184B"/>
    <w:rsid w:val="001A198E"/>
    <w:rsid w:val="001A244A"/>
    <w:rsid w:val="001A2985"/>
    <w:rsid w:val="001A2BBB"/>
    <w:rsid w:val="001A2E4F"/>
    <w:rsid w:val="001A3160"/>
    <w:rsid w:val="001A3F13"/>
    <w:rsid w:val="001A433C"/>
    <w:rsid w:val="001A438A"/>
    <w:rsid w:val="001A5EFA"/>
    <w:rsid w:val="001A654E"/>
    <w:rsid w:val="001A6A1F"/>
    <w:rsid w:val="001A6A9F"/>
    <w:rsid w:val="001A6B15"/>
    <w:rsid w:val="001A6F98"/>
    <w:rsid w:val="001B02C4"/>
    <w:rsid w:val="001B1142"/>
    <w:rsid w:val="001B1CBD"/>
    <w:rsid w:val="001B1FBC"/>
    <w:rsid w:val="001B58BC"/>
    <w:rsid w:val="001B680D"/>
    <w:rsid w:val="001B6D1F"/>
    <w:rsid w:val="001B6F71"/>
    <w:rsid w:val="001B7B65"/>
    <w:rsid w:val="001B7BB9"/>
    <w:rsid w:val="001C1042"/>
    <w:rsid w:val="001C1152"/>
    <w:rsid w:val="001C1C87"/>
    <w:rsid w:val="001C25D9"/>
    <w:rsid w:val="001C2CAE"/>
    <w:rsid w:val="001C2D12"/>
    <w:rsid w:val="001C3CED"/>
    <w:rsid w:val="001C4116"/>
    <w:rsid w:val="001C46F7"/>
    <w:rsid w:val="001C4CAF"/>
    <w:rsid w:val="001C52A7"/>
    <w:rsid w:val="001C5608"/>
    <w:rsid w:val="001C5AC6"/>
    <w:rsid w:val="001C5BF8"/>
    <w:rsid w:val="001C5FCC"/>
    <w:rsid w:val="001C6302"/>
    <w:rsid w:val="001C6CC2"/>
    <w:rsid w:val="001C70CC"/>
    <w:rsid w:val="001C7581"/>
    <w:rsid w:val="001D03F4"/>
    <w:rsid w:val="001D0B42"/>
    <w:rsid w:val="001D10F0"/>
    <w:rsid w:val="001D171C"/>
    <w:rsid w:val="001D251B"/>
    <w:rsid w:val="001D2703"/>
    <w:rsid w:val="001D3A61"/>
    <w:rsid w:val="001D3F9E"/>
    <w:rsid w:val="001D4030"/>
    <w:rsid w:val="001D48AD"/>
    <w:rsid w:val="001D496E"/>
    <w:rsid w:val="001D4E47"/>
    <w:rsid w:val="001D5145"/>
    <w:rsid w:val="001D5CE7"/>
    <w:rsid w:val="001D5D05"/>
    <w:rsid w:val="001D6128"/>
    <w:rsid w:val="001D62C6"/>
    <w:rsid w:val="001D62D5"/>
    <w:rsid w:val="001D76F3"/>
    <w:rsid w:val="001E07FD"/>
    <w:rsid w:val="001E1726"/>
    <w:rsid w:val="001E1E92"/>
    <w:rsid w:val="001E32A1"/>
    <w:rsid w:val="001E3763"/>
    <w:rsid w:val="001E3DC6"/>
    <w:rsid w:val="001E3DDA"/>
    <w:rsid w:val="001E438B"/>
    <w:rsid w:val="001E51A5"/>
    <w:rsid w:val="001E59E4"/>
    <w:rsid w:val="001E5BFA"/>
    <w:rsid w:val="001E67EB"/>
    <w:rsid w:val="001E6A8B"/>
    <w:rsid w:val="001E6C1F"/>
    <w:rsid w:val="001E6F4D"/>
    <w:rsid w:val="001E71EE"/>
    <w:rsid w:val="001E753E"/>
    <w:rsid w:val="001E7D92"/>
    <w:rsid w:val="001F0303"/>
    <w:rsid w:val="001F055E"/>
    <w:rsid w:val="001F05E7"/>
    <w:rsid w:val="001F0D77"/>
    <w:rsid w:val="001F0EB5"/>
    <w:rsid w:val="001F1247"/>
    <w:rsid w:val="001F1E2D"/>
    <w:rsid w:val="001F24F1"/>
    <w:rsid w:val="001F2712"/>
    <w:rsid w:val="001F32A0"/>
    <w:rsid w:val="001F4B98"/>
    <w:rsid w:val="001F56E2"/>
    <w:rsid w:val="001F62AD"/>
    <w:rsid w:val="001F69A8"/>
    <w:rsid w:val="001F7B91"/>
    <w:rsid w:val="001F7CE2"/>
    <w:rsid w:val="00200246"/>
    <w:rsid w:val="00200FEE"/>
    <w:rsid w:val="0020219A"/>
    <w:rsid w:val="00202377"/>
    <w:rsid w:val="00202E65"/>
    <w:rsid w:val="00202F75"/>
    <w:rsid w:val="002034BD"/>
    <w:rsid w:val="00203EE6"/>
    <w:rsid w:val="002041C9"/>
    <w:rsid w:val="00204543"/>
    <w:rsid w:val="00204C7F"/>
    <w:rsid w:val="00204D85"/>
    <w:rsid w:val="00205279"/>
    <w:rsid w:val="002052BE"/>
    <w:rsid w:val="00205362"/>
    <w:rsid w:val="002055C3"/>
    <w:rsid w:val="00205F09"/>
    <w:rsid w:val="0020676D"/>
    <w:rsid w:val="00206979"/>
    <w:rsid w:val="002069C9"/>
    <w:rsid w:val="0020769A"/>
    <w:rsid w:val="00207A81"/>
    <w:rsid w:val="00210706"/>
    <w:rsid w:val="00210793"/>
    <w:rsid w:val="00210F41"/>
    <w:rsid w:val="00211152"/>
    <w:rsid w:val="00211679"/>
    <w:rsid w:val="00211767"/>
    <w:rsid w:val="00211874"/>
    <w:rsid w:val="00211915"/>
    <w:rsid w:val="002119CD"/>
    <w:rsid w:val="002134B1"/>
    <w:rsid w:val="00213677"/>
    <w:rsid w:val="0021377F"/>
    <w:rsid w:val="002143AB"/>
    <w:rsid w:val="00214B57"/>
    <w:rsid w:val="002151D9"/>
    <w:rsid w:val="002153F1"/>
    <w:rsid w:val="002159D6"/>
    <w:rsid w:val="002159F0"/>
    <w:rsid w:val="00215A4B"/>
    <w:rsid w:val="00215AE5"/>
    <w:rsid w:val="00215C0C"/>
    <w:rsid w:val="00215DF8"/>
    <w:rsid w:val="0021602E"/>
    <w:rsid w:val="00216090"/>
    <w:rsid w:val="002169B1"/>
    <w:rsid w:val="0021782D"/>
    <w:rsid w:val="00217F28"/>
    <w:rsid w:val="00220F96"/>
    <w:rsid w:val="00221033"/>
    <w:rsid w:val="002211F0"/>
    <w:rsid w:val="00221C18"/>
    <w:rsid w:val="0022215B"/>
    <w:rsid w:val="00222231"/>
    <w:rsid w:val="0022360B"/>
    <w:rsid w:val="002238BF"/>
    <w:rsid w:val="002239A4"/>
    <w:rsid w:val="00223A4A"/>
    <w:rsid w:val="00223B97"/>
    <w:rsid w:val="00223C19"/>
    <w:rsid w:val="00223DF4"/>
    <w:rsid w:val="00223FBD"/>
    <w:rsid w:val="002248A7"/>
    <w:rsid w:val="002254DB"/>
    <w:rsid w:val="00225569"/>
    <w:rsid w:val="00225D01"/>
    <w:rsid w:val="00226773"/>
    <w:rsid w:val="00226C7C"/>
    <w:rsid w:val="00226D0B"/>
    <w:rsid w:val="0022714B"/>
    <w:rsid w:val="00227568"/>
    <w:rsid w:val="002275B3"/>
    <w:rsid w:val="002275F9"/>
    <w:rsid w:val="00227D63"/>
    <w:rsid w:val="00227E62"/>
    <w:rsid w:val="002301EF"/>
    <w:rsid w:val="002307F1"/>
    <w:rsid w:val="00230E50"/>
    <w:rsid w:val="00232436"/>
    <w:rsid w:val="002328CC"/>
    <w:rsid w:val="00232E4A"/>
    <w:rsid w:val="0023347D"/>
    <w:rsid w:val="002337DF"/>
    <w:rsid w:val="00234A41"/>
    <w:rsid w:val="00234CBD"/>
    <w:rsid w:val="00235175"/>
    <w:rsid w:val="00235397"/>
    <w:rsid w:val="00235400"/>
    <w:rsid w:val="00235444"/>
    <w:rsid w:val="002356CF"/>
    <w:rsid w:val="002359CD"/>
    <w:rsid w:val="00235A34"/>
    <w:rsid w:val="00236BA9"/>
    <w:rsid w:val="0023733C"/>
    <w:rsid w:val="0024008D"/>
    <w:rsid w:val="002400C1"/>
    <w:rsid w:val="00240CD7"/>
    <w:rsid w:val="002413A1"/>
    <w:rsid w:val="0024396E"/>
    <w:rsid w:val="00243CBA"/>
    <w:rsid w:val="00243CCD"/>
    <w:rsid w:val="002444E0"/>
    <w:rsid w:val="0024533E"/>
    <w:rsid w:val="002459FD"/>
    <w:rsid w:val="00245A21"/>
    <w:rsid w:val="0024670F"/>
    <w:rsid w:val="002467BE"/>
    <w:rsid w:val="00246BD3"/>
    <w:rsid w:val="00246FEA"/>
    <w:rsid w:val="0024713C"/>
    <w:rsid w:val="00247167"/>
    <w:rsid w:val="002476F6"/>
    <w:rsid w:val="00247A11"/>
    <w:rsid w:val="002501B8"/>
    <w:rsid w:val="00250FBD"/>
    <w:rsid w:val="0025137F"/>
    <w:rsid w:val="0025148E"/>
    <w:rsid w:val="00251516"/>
    <w:rsid w:val="00251BAA"/>
    <w:rsid w:val="00251DED"/>
    <w:rsid w:val="00252480"/>
    <w:rsid w:val="0025265C"/>
    <w:rsid w:val="00252D82"/>
    <w:rsid w:val="00253458"/>
    <w:rsid w:val="0025408E"/>
    <w:rsid w:val="002545E0"/>
    <w:rsid w:val="0025475F"/>
    <w:rsid w:val="00254C01"/>
    <w:rsid w:val="00254D2D"/>
    <w:rsid w:val="00254EC2"/>
    <w:rsid w:val="002564BA"/>
    <w:rsid w:val="00256D03"/>
    <w:rsid w:val="00257829"/>
    <w:rsid w:val="00257E5F"/>
    <w:rsid w:val="00260337"/>
    <w:rsid w:val="00260D5B"/>
    <w:rsid w:val="0026183F"/>
    <w:rsid w:val="0026190C"/>
    <w:rsid w:val="002624BB"/>
    <w:rsid w:val="00262563"/>
    <w:rsid w:val="002627BA"/>
    <w:rsid w:val="00262945"/>
    <w:rsid w:val="00262C66"/>
    <w:rsid w:val="00262F31"/>
    <w:rsid w:val="002630A1"/>
    <w:rsid w:val="002631C5"/>
    <w:rsid w:val="00263770"/>
    <w:rsid w:val="00263796"/>
    <w:rsid w:val="0026486A"/>
    <w:rsid w:val="00264AF8"/>
    <w:rsid w:val="00264E75"/>
    <w:rsid w:val="0026661D"/>
    <w:rsid w:val="0026689A"/>
    <w:rsid w:val="002669CC"/>
    <w:rsid w:val="00266F6F"/>
    <w:rsid w:val="00267E9C"/>
    <w:rsid w:val="002700C3"/>
    <w:rsid w:val="002701CF"/>
    <w:rsid w:val="0027032E"/>
    <w:rsid w:val="002712F8"/>
    <w:rsid w:val="00271369"/>
    <w:rsid w:val="00271D99"/>
    <w:rsid w:val="0027253E"/>
    <w:rsid w:val="002727E9"/>
    <w:rsid w:val="00272A71"/>
    <w:rsid w:val="0027328A"/>
    <w:rsid w:val="00273BD7"/>
    <w:rsid w:val="00273DBB"/>
    <w:rsid w:val="00274783"/>
    <w:rsid w:val="00275374"/>
    <w:rsid w:val="002779F9"/>
    <w:rsid w:val="00277C32"/>
    <w:rsid w:val="00277DB1"/>
    <w:rsid w:val="00280971"/>
    <w:rsid w:val="0028097A"/>
    <w:rsid w:val="00280AD5"/>
    <w:rsid w:val="002812A8"/>
    <w:rsid w:val="002816E3"/>
    <w:rsid w:val="00282485"/>
    <w:rsid w:val="0028256E"/>
    <w:rsid w:val="00282902"/>
    <w:rsid w:val="00282D94"/>
    <w:rsid w:val="00282DE2"/>
    <w:rsid w:val="00282EFB"/>
    <w:rsid w:val="00283859"/>
    <w:rsid w:val="00284C73"/>
    <w:rsid w:val="00285582"/>
    <w:rsid w:val="002858EF"/>
    <w:rsid w:val="00285CA6"/>
    <w:rsid w:val="002860F7"/>
    <w:rsid w:val="0028754F"/>
    <w:rsid w:val="00287E7F"/>
    <w:rsid w:val="00290A65"/>
    <w:rsid w:val="00290DCE"/>
    <w:rsid w:val="0029119E"/>
    <w:rsid w:val="0029168E"/>
    <w:rsid w:val="002919AA"/>
    <w:rsid w:val="00291FEE"/>
    <w:rsid w:val="00292047"/>
    <w:rsid w:val="00292A91"/>
    <w:rsid w:val="00292BA7"/>
    <w:rsid w:val="00293681"/>
    <w:rsid w:val="00293AEF"/>
    <w:rsid w:val="002944F9"/>
    <w:rsid w:val="002954D8"/>
    <w:rsid w:val="0029550C"/>
    <w:rsid w:val="00295663"/>
    <w:rsid w:val="002958A1"/>
    <w:rsid w:val="0029595B"/>
    <w:rsid w:val="00295AD3"/>
    <w:rsid w:val="00296231"/>
    <w:rsid w:val="00296C2D"/>
    <w:rsid w:val="0029720D"/>
    <w:rsid w:val="002A000C"/>
    <w:rsid w:val="002A06D0"/>
    <w:rsid w:val="002A165D"/>
    <w:rsid w:val="002A2809"/>
    <w:rsid w:val="002A2D02"/>
    <w:rsid w:val="002A310D"/>
    <w:rsid w:val="002A3685"/>
    <w:rsid w:val="002A3AE4"/>
    <w:rsid w:val="002A422C"/>
    <w:rsid w:val="002A4CA9"/>
    <w:rsid w:val="002A4D1E"/>
    <w:rsid w:val="002A532F"/>
    <w:rsid w:val="002A5C21"/>
    <w:rsid w:val="002A5C77"/>
    <w:rsid w:val="002A6942"/>
    <w:rsid w:val="002A69B2"/>
    <w:rsid w:val="002A706C"/>
    <w:rsid w:val="002A773C"/>
    <w:rsid w:val="002A7F13"/>
    <w:rsid w:val="002B1613"/>
    <w:rsid w:val="002B1D97"/>
    <w:rsid w:val="002B3341"/>
    <w:rsid w:val="002B3407"/>
    <w:rsid w:val="002B3D5D"/>
    <w:rsid w:val="002B587D"/>
    <w:rsid w:val="002B5913"/>
    <w:rsid w:val="002B63D5"/>
    <w:rsid w:val="002B7376"/>
    <w:rsid w:val="002B7B7F"/>
    <w:rsid w:val="002C0893"/>
    <w:rsid w:val="002C0EE3"/>
    <w:rsid w:val="002C21CD"/>
    <w:rsid w:val="002C30F3"/>
    <w:rsid w:val="002C3166"/>
    <w:rsid w:val="002C31E1"/>
    <w:rsid w:val="002C3C60"/>
    <w:rsid w:val="002C3CD4"/>
    <w:rsid w:val="002C3F69"/>
    <w:rsid w:val="002C45CF"/>
    <w:rsid w:val="002C4892"/>
    <w:rsid w:val="002C4FE8"/>
    <w:rsid w:val="002C53C0"/>
    <w:rsid w:val="002C5D6D"/>
    <w:rsid w:val="002C5E4B"/>
    <w:rsid w:val="002C6355"/>
    <w:rsid w:val="002C6587"/>
    <w:rsid w:val="002C740D"/>
    <w:rsid w:val="002C76AC"/>
    <w:rsid w:val="002C7951"/>
    <w:rsid w:val="002C7E80"/>
    <w:rsid w:val="002D0972"/>
    <w:rsid w:val="002D1393"/>
    <w:rsid w:val="002D1F9C"/>
    <w:rsid w:val="002D2C57"/>
    <w:rsid w:val="002D2D4F"/>
    <w:rsid w:val="002D2EF3"/>
    <w:rsid w:val="002D3039"/>
    <w:rsid w:val="002D3101"/>
    <w:rsid w:val="002D3B78"/>
    <w:rsid w:val="002D47F8"/>
    <w:rsid w:val="002D4A40"/>
    <w:rsid w:val="002D4C09"/>
    <w:rsid w:val="002D56E0"/>
    <w:rsid w:val="002D62AA"/>
    <w:rsid w:val="002D6669"/>
    <w:rsid w:val="002D6735"/>
    <w:rsid w:val="002D67DF"/>
    <w:rsid w:val="002E0770"/>
    <w:rsid w:val="002E1462"/>
    <w:rsid w:val="002E1AB7"/>
    <w:rsid w:val="002E1DD6"/>
    <w:rsid w:val="002E1F87"/>
    <w:rsid w:val="002E231D"/>
    <w:rsid w:val="002E2863"/>
    <w:rsid w:val="002E2FCC"/>
    <w:rsid w:val="002E3051"/>
    <w:rsid w:val="002E3243"/>
    <w:rsid w:val="002E366C"/>
    <w:rsid w:val="002E53D6"/>
    <w:rsid w:val="002E5607"/>
    <w:rsid w:val="002E5D2E"/>
    <w:rsid w:val="002E6493"/>
    <w:rsid w:val="002E683E"/>
    <w:rsid w:val="002E6C3D"/>
    <w:rsid w:val="002E7452"/>
    <w:rsid w:val="002F02B2"/>
    <w:rsid w:val="002F0BA3"/>
    <w:rsid w:val="002F0F4D"/>
    <w:rsid w:val="002F14DB"/>
    <w:rsid w:val="002F1646"/>
    <w:rsid w:val="002F1742"/>
    <w:rsid w:val="002F179F"/>
    <w:rsid w:val="002F181B"/>
    <w:rsid w:val="002F185C"/>
    <w:rsid w:val="002F1CB4"/>
    <w:rsid w:val="002F1FE9"/>
    <w:rsid w:val="002F2747"/>
    <w:rsid w:val="002F27C9"/>
    <w:rsid w:val="002F29DE"/>
    <w:rsid w:val="002F2D30"/>
    <w:rsid w:val="002F2FC3"/>
    <w:rsid w:val="002F44F7"/>
    <w:rsid w:val="002F5541"/>
    <w:rsid w:val="002F577F"/>
    <w:rsid w:val="002F5B24"/>
    <w:rsid w:val="002F6F53"/>
    <w:rsid w:val="002F7303"/>
    <w:rsid w:val="002F7786"/>
    <w:rsid w:val="003001FA"/>
    <w:rsid w:val="003008FF"/>
    <w:rsid w:val="00300EB9"/>
    <w:rsid w:val="00300F47"/>
    <w:rsid w:val="0030142F"/>
    <w:rsid w:val="00301803"/>
    <w:rsid w:val="00302F82"/>
    <w:rsid w:val="00303B8C"/>
    <w:rsid w:val="00304340"/>
    <w:rsid w:val="003048CA"/>
    <w:rsid w:val="00304C72"/>
    <w:rsid w:val="00304CD3"/>
    <w:rsid w:val="00304CD4"/>
    <w:rsid w:val="00304D11"/>
    <w:rsid w:val="00304E29"/>
    <w:rsid w:val="0030524C"/>
    <w:rsid w:val="00306088"/>
    <w:rsid w:val="00306342"/>
    <w:rsid w:val="003064B3"/>
    <w:rsid w:val="003069B8"/>
    <w:rsid w:val="003073B3"/>
    <w:rsid w:val="00307B0A"/>
    <w:rsid w:val="00307ED0"/>
    <w:rsid w:val="003107B5"/>
    <w:rsid w:val="00310E3B"/>
    <w:rsid w:val="003115EB"/>
    <w:rsid w:val="003120FD"/>
    <w:rsid w:val="00313BA0"/>
    <w:rsid w:val="00313ECA"/>
    <w:rsid w:val="003141AF"/>
    <w:rsid w:val="00315714"/>
    <w:rsid w:val="003158A0"/>
    <w:rsid w:val="00316109"/>
    <w:rsid w:val="003170A4"/>
    <w:rsid w:val="003173C5"/>
    <w:rsid w:val="00317507"/>
    <w:rsid w:val="00317A30"/>
    <w:rsid w:val="0032097B"/>
    <w:rsid w:val="003219C5"/>
    <w:rsid w:val="0032294F"/>
    <w:rsid w:val="00322AEB"/>
    <w:rsid w:val="0032317B"/>
    <w:rsid w:val="003245A2"/>
    <w:rsid w:val="0032463D"/>
    <w:rsid w:val="00324A56"/>
    <w:rsid w:val="00325082"/>
    <w:rsid w:val="003258A5"/>
    <w:rsid w:val="003258D1"/>
    <w:rsid w:val="00325AA0"/>
    <w:rsid w:val="00325FDB"/>
    <w:rsid w:val="00326D7C"/>
    <w:rsid w:val="00326DEE"/>
    <w:rsid w:val="003279D8"/>
    <w:rsid w:val="003300C4"/>
    <w:rsid w:val="0033046D"/>
    <w:rsid w:val="00330621"/>
    <w:rsid w:val="00330CD5"/>
    <w:rsid w:val="00330D51"/>
    <w:rsid w:val="003318B4"/>
    <w:rsid w:val="00331BBB"/>
    <w:rsid w:val="003320C6"/>
    <w:rsid w:val="00332239"/>
    <w:rsid w:val="00332513"/>
    <w:rsid w:val="00332CE1"/>
    <w:rsid w:val="00333268"/>
    <w:rsid w:val="00333756"/>
    <w:rsid w:val="00333AA6"/>
    <w:rsid w:val="00334BF0"/>
    <w:rsid w:val="00334DF2"/>
    <w:rsid w:val="00335412"/>
    <w:rsid w:val="003356A3"/>
    <w:rsid w:val="003358F9"/>
    <w:rsid w:val="00336B58"/>
    <w:rsid w:val="00336F41"/>
    <w:rsid w:val="00337571"/>
    <w:rsid w:val="00337A57"/>
    <w:rsid w:val="00337B37"/>
    <w:rsid w:val="0034046A"/>
    <w:rsid w:val="00340507"/>
    <w:rsid w:val="003412E6"/>
    <w:rsid w:val="003416D1"/>
    <w:rsid w:val="003416DC"/>
    <w:rsid w:val="003417EF"/>
    <w:rsid w:val="00341856"/>
    <w:rsid w:val="00341883"/>
    <w:rsid w:val="00341ADD"/>
    <w:rsid w:val="003423FE"/>
    <w:rsid w:val="00342609"/>
    <w:rsid w:val="00343187"/>
    <w:rsid w:val="003437D1"/>
    <w:rsid w:val="00343ADC"/>
    <w:rsid w:val="00344A7F"/>
    <w:rsid w:val="00345135"/>
    <w:rsid w:val="00345578"/>
    <w:rsid w:val="00345B18"/>
    <w:rsid w:val="00345FEC"/>
    <w:rsid w:val="00346A2A"/>
    <w:rsid w:val="0034717B"/>
    <w:rsid w:val="00347729"/>
    <w:rsid w:val="00347CF4"/>
    <w:rsid w:val="00347E7F"/>
    <w:rsid w:val="00350063"/>
    <w:rsid w:val="00350433"/>
    <w:rsid w:val="00350684"/>
    <w:rsid w:val="00351083"/>
    <w:rsid w:val="00351541"/>
    <w:rsid w:val="003515BA"/>
    <w:rsid w:val="003517A1"/>
    <w:rsid w:val="00351D95"/>
    <w:rsid w:val="00352C80"/>
    <w:rsid w:val="003532F4"/>
    <w:rsid w:val="00353C4C"/>
    <w:rsid w:val="00353C64"/>
    <w:rsid w:val="00354047"/>
    <w:rsid w:val="00354947"/>
    <w:rsid w:val="00354B47"/>
    <w:rsid w:val="00355251"/>
    <w:rsid w:val="0035538B"/>
    <w:rsid w:val="00355593"/>
    <w:rsid w:val="0035612C"/>
    <w:rsid w:val="003563B4"/>
    <w:rsid w:val="003565B1"/>
    <w:rsid w:val="003565FE"/>
    <w:rsid w:val="00357017"/>
    <w:rsid w:val="003571CD"/>
    <w:rsid w:val="0035729E"/>
    <w:rsid w:val="00357C6F"/>
    <w:rsid w:val="00357FC3"/>
    <w:rsid w:val="003608B8"/>
    <w:rsid w:val="00360B83"/>
    <w:rsid w:val="00362336"/>
    <w:rsid w:val="00362EE6"/>
    <w:rsid w:val="00362F76"/>
    <w:rsid w:val="0036315D"/>
    <w:rsid w:val="00364098"/>
    <w:rsid w:val="00364D7B"/>
    <w:rsid w:val="003651F5"/>
    <w:rsid w:val="003663E9"/>
    <w:rsid w:val="00367A7B"/>
    <w:rsid w:val="00367EDB"/>
    <w:rsid w:val="00367F36"/>
    <w:rsid w:val="0037141B"/>
    <w:rsid w:val="0037156F"/>
    <w:rsid w:val="00371F14"/>
    <w:rsid w:val="003720CB"/>
    <w:rsid w:val="00372B39"/>
    <w:rsid w:val="00372E2C"/>
    <w:rsid w:val="003736FB"/>
    <w:rsid w:val="00373FDC"/>
    <w:rsid w:val="003754C2"/>
    <w:rsid w:val="003758E7"/>
    <w:rsid w:val="0037590C"/>
    <w:rsid w:val="003759A2"/>
    <w:rsid w:val="003765DF"/>
    <w:rsid w:val="0037672A"/>
    <w:rsid w:val="00377E2A"/>
    <w:rsid w:val="0038084C"/>
    <w:rsid w:val="00381E56"/>
    <w:rsid w:val="003820BC"/>
    <w:rsid w:val="003823AF"/>
    <w:rsid w:val="00382C53"/>
    <w:rsid w:val="00382CF2"/>
    <w:rsid w:val="0038360B"/>
    <w:rsid w:val="003836EB"/>
    <w:rsid w:val="00383E05"/>
    <w:rsid w:val="00384628"/>
    <w:rsid w:val="003846A1"/>
    <w:rsid w:val="0038489C"/>
    <w:rsid w:val="003848B8"/>
    <w:rsid w:val="00384CC8"/>
    <w:rsid w:val="00384EED"/>
    <w:rsid w:val="00384EEF"/>
    <w:rsid w:val="003850C7"/>
    <w:rsid w:val="00386155"/>
    <w:rsid w:val="003864BE"/>
    <w:rsid w:val="00386533"/>
    <w:rsid w:val="00386D5C"/>
    <w:rsid w:val="00390BCE"/>
    <w:rsid w:val="00391161"/>
    <w:rsid w:val="003921E5"/>
    <w:rsid w:val="00392AEC"/>
    <w:rsid w:val="003936FF"/>
    <w:rsid w:val="00393806"/>
    <w:rsid w:val="003938C3"/>
    <w:rsid w:val="00393E3D"/>
    <w:rsid w:val="00394153"/>
    <w:rsid w:val="0039441A"/>
    <w:rsid w:val="00394428"/>
    <w:rsid w:val="0039457C"/>
    <w:rsid w:val="00394AFC"/>
    <w:rsid w:val="00395681"/>
    <w:rsid w:val="00395766"/>
    <w:rsid w:val="00395C25"/>
    <w:rsid w:val="00395D5F"/>
    <w:rsid w:val="003968D0"/>
    <w:rsid w:val="003976F6"/>
    <w:rsid w:val="00397859"/>
    <w:rsid w:val="003A032D"/>
    <w:rsid w:val="003A034C"/>
    <w:rsid w:val="003A0EAE"/>
    <w:rsid w:val="003A116F"/>
    <w:rsid w:val="003A1B36"/>
    <w:rsid w:val="003A2005"/>
    <w:rsid w:val="003A20E9"/>
    <w:rsid w:val="003A24EC"/>
    <w:rsid w:val="003A3244"/>
    <w:rsid w:val="003A3A0E"/>
    <w:rsid w:val="003A3C2E"/>
    <w:rsid w:val="003A3DFF"/>
    <w:rsid w:val="003A3F5D"/>
    <w:rsid w:val="003A4763"/>
    <w:rsid w:val="003A488E"/>
    <w:rsid w:val="003A4C6C"/>
    <w:rsid w:val="003A677D"/>
    <w:rsid w:val="003A7152"/>
    <w:rsid w:val="003A7FBB"/>
    <w:rsid w:val="003B0333"/>
    <w:rsid w:val="003B1486"/>
    <w:rsid w:val="003B1EEF"/>
    <w:rsid w:val="003B2A3D"/>
    <w:rsid w:val="003B2C0C"/>
    <w:rsid w:val="003B2D07"/>
    <w:rsid w:val="003B2D52"/>
    <w:rsid w:val="003B2E4C"/>
    <w:rsid w:val="003B311F"/>
    <w:rsid w:val="003B337A"/>
    <w:rsid w:val="003B3CBB"/>
    <w:rsid w:val="003B43F3"/>
    <w:rsid w:val="003B472A"/>
    <w:rsid w:val="003B5CCE"/>
    <w:rsid w:val="003B5D06"/>
    <w:rsid w:val="003B6FEB"/>
    <w:rsid w:val="003B789D"/>
    <w:rsid w:val="003C0E2A"/>
    <w:rsid w:val="003C101F"/>
    <w:rsid w:val="003C1743"/>
    <w:rsid w:val="003C1862"/>
    <w:rsid w:val="003C1AA5"/>
    <w:rsid w:val="003C1E73"/>
    <w:rsid w:val="003C21E1"/>
    <w:rsid w:val="003C3378"/>
    <w:rsid w:val="003C3607"/>
    <w:rsid w:val="003C3770"/>
    <w:rsid w:val="003C4B40"/>
    <w:rsid w:val="003C4B59"/>
    <w:rsid w:val="003C5703"/>
    <w:rsid w:val="003C5CF6"/>
    <w:rsid w:val="003C6289"/>
    <w:rsid w:val="003C62D8"/>
    <w:rsid w:val="003C7348"/>
    <w:rsid w:val="003D0782"/>
    <w:rsid w:val="003D07A5"/>
    <w:rsid w:val="003D13E2"/>
    <w:rsid w:val="003D16ED"/>
    <w:rsid w:val="003D1A2C"/>
    <w:rsid w:val="003D1D82"/>
    <w:rsid w:val="003D1E26"/>
    <w:rsid w:val="003D1E42"/>
    <w:rsid w:val="003D241D"/>
    <w:rsid w:val="003D2554"/>
    <w:rsid w:val="003D2565"/>
    <w:rsid w:val="003D27F1"/>
    <w:rsid w:val="003D2E25"/>
    <w:rsid w:val="003D31B9"/>
    <w:rsid w:val="003D31CE"/>
    <w:rsid w:val="003D3468"/>
    <w:rsid w:val="003D3C59"/>
    <w:rsid w:val="003D405C"/>
    <w:rsid w:val="003D4C08"/>
    <w:rsid w:val="003D4FB7"/>
    <w:rsid w:val="003D53C6"/>
    <w:rsid w:val="003D56EC"/>
    <w:rsid w:val="003D5A5A"/>
    <w:rsid w:val="003D62AE"/>
    <w:rsid w:val="003D686D"/>
    <w:rsid w:val="003D6896"/>
    <w:rsid w:val="003D6BD7"/>
    <w:rsid w:val="003D6C06"/>
    <w:rsid w:val="003D6EDA"/>
    <w:rsid w:val="003D70CC"/>
    <w:rsid w:val="003D722E"/>
    <w:rsid w:val="003D754C"/>
    <w:rsid w:val="003E0314"/>
    <w:rsid w:val="003E0642"/>
    <w:rsid w:val="003E0E55"/>
    <w:rsid w:val="003E2075"/>
    <w:rsid w:val="003E2CCB"/>
    <w:rsid w:val="003E3B21"/>
    <w:rsid w:val="003E4807"/>
    <w:rsid w:val="003E4A83"/>
    <w:rsid w:val="003E5448"/>
    <w:rsid w:val="003E5473"/>
    <w:rsid w:val="003E7032"/>
    <w:rsid w:val="003E773E"/>
    <w:rsid w:val="003E78ED"/>
    <w:rsid w:val="003F08F7"/>
    <w:rsid w:val="003F1144"/>
    <w:rsid w:val="003F18ED"/>
    <w:rsid w:val="003F1C86"/>
    <w:rsid w:val="003F28A5"/>
    <w:rsid w:val="003F3DE9"/>
    <w:rsid w:val="003F3E0F"/>
    <w:rsid w:val="003F4028"/>
    <w:rsid w:val="003F46B3"/>
    <w:rsid w:val="003F4A91"/>
    <w:rsid w:val="003F5394"/>
    <w:rsid w:val="003F6737"/>
    <w:rsid w:val="003F6B97"/>
    <w:rsid w:val="003F70D3"/>
    <w:rsid w:val="003F71FE"/>
    <w:rsid w:val="003F765E"/>
    <w:rsid w:val="003F76AC"/>
    <w:rsid w:val="003F7C30"/>
    <w:rsid w:val="00400212"/>
    <w:rsid w:val="00401244"/>
    <w:rsid w:val="00403519"/>
    <w:rsid w:val="004047D6"/>
    <w:rsid w:val="00404D96"/>
    <w:rsid w:val="00405194"/>
    <w:rsid w:val="00405762"/>
    <w:rsid w:val="004058EC"/>
    <w:rsid w:val="004059DE"/>
    <w:rsid w:val="00405B72"/>
    <w:rsid w:val="00405C72"/>
    <w:rsid w:val="00405D35"/>
    <w:rsid w:val="00405F6B"/>
    <w:rsid w:val="00405FFF"/>
    <w:rsid w:val="004073A9"/>
    <w:rsid w:val="0040740D"/>
    <w:rsid w:val="00407ED5"/>
    <w:rsid w:val="00411BC4"/>
    <w:rsid w:val="00412527"/>
    <w:rsid w:val="004128ED"/>
    <w:rsid w:val="004131FB"/>
    <w:rsid w:val="00413567"/>
    <w:rsid w:val="0041444A"/>
    <w:rsid w:val="004146AF"/>
    <w:rsid w:val="00414958"/>
    <w:rsid w:val="00414B48"/>
    <w:rsid w:val="00414F56"/>
    <w:rsid w:val="00415380"/>
    <w:rsid w:val="00415839"/>
    <w:rsid w:val="00415942"/>
    <w:rsid w:val="00416065"/>
    <w:rsid w:val="00417005"/>
    <w:rsid w:val="004171DA"/>
    <w:rsid w:val="0042002A"/>
    <w:rsid w:val="0042050D"/>
    <w:rsid w:val="0042079F"/>
    <w:rsid w:val="00420968"/>
    <w:rsid w:val="00420D23"/>
    <w:rsid w:val="00420E48"/>
    <w:rsid w:val="0042152F"/>
    <w:rsid w:val="00421734"/>
    <w:rsid w:val="0042177B"/>
    <w:rsid w:val="00421B92"/>
    <w:rsid w:val="00421E0C"/>
    <w:rsid w:val="00422BC4"/>
    <w:rsid w:val="00422C31"/>
    <w:rsid w:val="004231A6"/>
    <w:rsid w:val="00423A33"/>
    <w:rsid w:val="0042501E"/>
    <w:rsid w:val="004251D7"/>
    <w:rsid w:val="00425509"/>
    <w:rsid w:val="004263AE"/>
    <w:rsid w:val="0042679D"/>
    <w:rsid w:val="00427495"/>
    <w:rsid w:val="00430610"/>
    <w:rsid w:val="00430CF6"/>
    <w:rsid w:val="004310CA"/>
    <w:rsid w:val="00431F16"/>
    <w:rsid w:val="00431FFF"/>
    <w:rsid w:val="00432267"/>
    <w:rsid w:val="00433087"/>
    <w:rsid w:val="00433936"/>
    <w:rsid w:val="004345DF"/>
    <w:rsid w:val="00435402"/>
    <w:rsid w:val="004358D5"/>
    <w:rsid w:val="00435C03"/>
    <w:rsid w:val="00436CAD"/>
    <w:rsid w:val="00436DB9"/>
    <w:rsid w:val="00436F27"/>
    <w:rsid w:val="004379D8"/>
    <w:rsid w:val="00440463"/>
    <w:rsid w:val="00440B78"/>
    <w:rsid w:val="00440CB3"/>
    <w:rsid w:val="00441BCD"/>
    <w:rsid w:val="0044389F"/>
    <w:rsid w:val="004439DB"/>
    <w:rsid w:val="00443A32"/>
    <w:rsid w:val="00443EEF"/>
    <w:rsid w:val="00443F25"/>
    <w:rsid w:val="00444924"/>
    <w:rsid w:val="00444A08"/>
    <w:rsid w:val="00444C05"/>
    <w:rsid w:val="00444EE8"/>
    <w:rsid w:val="00445386"/>
    <w:rsid w:val="0044565D"/>
    <w:rsid w:val="00447023"/>
    <w:rsid w:val="00447752"/>
    <w:rsid w:val="00447B87"/>
    <w:rsid w:val="0045126C"/>
    <w:rsid w:val="0045154D"/>
    <w:rsid w:val="00451989"/>
    <w:rsid w:val="004520DC"/>
    <w:rsid w:val="004525F7"/>
    <w:rsid w:val="00452804"/>
    <w:rsid w:val="00452A0A"/>
    <w:rsid w:val="00452CC2"/>
    <w:rsid w:val="00453754"/>
    <w:rsid w:val="00453A75"/>
    <w:rsid w:val="00453B34"/>
    <w:rsid w:val="00453B97"/>
    <w:rsid w:val="00454A76"/>
    <w:rsid w:val="00455E53"/>
    <w:rsid w:val="00455E87"/>
    <w:rsid w:val="00456257"/>
    <w:rsid w:val="00457157"/>
    <w:rsid w:val="0045796E"/>
    <w:rsid w:val="00457CAF"/>
    <w:rsid w:val="00457D4B"/>
    <w:rsid w:val="00457FB4"/>
    <w:rsid w:val="00461562"/>
    <w:rsid w:val="004617A6"/>
    <w:rsid w:val="00462169"/>
    <w:rsid w:val="004622C3"/>
    <w:rsid w:val="004624ED"/>
    <w:rsid w:val="00462953"/>
    <w:rsid w:val="00462C75"/>
    <w:rsid w:val="00462CA6"/>
    <w:rsid w:val="00462D66"/>
    <w:rsid w:val="004644CF"/>
    <w:rsid w:val="00465F4B"/>
    <w:rsid w:val="00465FDF"/>
    <w:rsid w:val="00467888"/>
    <w:rsid w:val="00467EC3"/>
    <w:rsid w:val="0047090A"/>
    <w:rsid w:val="00471268"/>
    <w:rsid w:val="00471886"/>
    <w:rsid w:val="00471E9B"/>
    <w:rsid w:val="00472251"/>
    <w:rsid w:val="00472B52"/>
    <w:rsid w:val="004738DD"/>
    <w:rsid w:val="00473C62"/>
    <w:rsid w:val="00473F1C"/>
    <w:rsid w:val="00473FC6"/>
    <w:rsid w:val="00475060"/>
    <w:rsid w:val="00475158"/>
    <w:rsid w:val="00475554"/>
    <w:rsid w:val="00475D10"/>
    <w:rsid w:val="004764AD"/>
    <w:rsid w:val="0047653C"/>
    <w:rsid w:val="004770D5"/>
    <w:rsid w:val="0047761A"/>
    <w:rsid w:val="0047777E"/>
    <w:rsid w:val="00477F0A"/>
    <w:rsid w:val="004804A8"/>
    <w:rsid w:val="004805E5"/>
    <w:rsid w:val="00480EBE"/>
    <w:rsid w:val="00481445"/>
    <w:rsid w:val="00481925"/>
    <w:rsid w:val="00481C47"/>
    <w:rsid w:val="00482124"/>
    <w:rsid w:val="004822FB"/>
    <w:rsid w:val="00482933"/>
    <w:rsid w:val="0048298E"/>
    <w:rsid w:val="004829FB"/>
    <w:rsid w:val="00482D83"/>
    <w:rsid w:val="004833D1"/>
    <w:rsid w:val="00483AA1"/>
    <w:rsid w:val="00483D8B"/>
    <w:rsid w:val="00485790"/>
    <w:rsid w:val="00485CFE"/>
    <w:rsid w:val="00485D14"/>
    <w:rsid w:val="00486548"/>
    <w:rsid w:val="004873AE"/>
    <w:rsid w:val="00487D10"/>
    <w:rsid w:val="0049011D"/>
    <w:rsid w:val="00490592"/>
    <w:rsid w:val="00491091"/>
    <w:rsid w:val="00491311"/>
    <w:rsid w:val="00491E5D"/>
    <w:rsid w:val="0049390E"/>
    <w:rsid w:val="00493B38"/>
    <w:rsid w:val="00495374"/>
    <w:rsid w:val="004953CD"/>
    <w:rsid w:val="00495BF7"/>
    <w:rsid w:val="00496225"/>
    <w:rsid w:val="00496A56"/>
    <w:rsid w:val="004974B1"/>
    <w:rsid w:val="00497B09"/>
    <w:rsid w:val="00497E74"/>
    <w:rsid w:val="00497E86"/>
    <w:rsid w:val="004A01F2"/>
    <w:rsid w:val="004A0236"/>
    <w:rsid w:val="004A06C4"/>
    <w:rsid w:val="004A102B"/>
    <w:rsid w:val="004A177F"/>
    <w:rsid w:val="004A26E9"/>
    <w:rsid w:val="004A2CF2"/>
    <w:rsid w:val="004A2E67"/>
    <w:rsid w:val="004A4B72"/>
    <w:rsid w:val="004A4CB1"/>
    <w:rsid w:val="004A5404"/>
    <w:rsid w:val="004A69EB"/>
    <w:rsid w:val="004A6D43"/>
    <w:rsid w:val="004A6D73"/>
    <w:rsid w:val="004A72C2"/>
    <w:rsid w:val="004A747E"/>
    <w:rsid w:val="004B1469"/>
    <w:rsid w:val="004B1A0E"/>
    <w:rsid w:val="004B1F16"/>
    <w:rsid w:val="004B2401"/>
    <w:rsid w:val="004B2A04"/>
    <w:rsid w:val="004B2C8B"/>
    <w:rsid w:val="004B30A6"/>
    <w:rsid w:val="004B3558"/>
    <w:rsid w:val="004B36D7"/>
    <w:rsid w:val="004B3901"/>
    <w:rsid w:val="004B3AE0"/>
    <w:rsid w:val="004B43D9"/>
    <w:rsid w:val="004B47F1"/>
    <w:rsid w:val="004B4A4B"/>
    <w:rsid w:val="004B4A66"/>
    <w:rsid w:val="004B5E50"/>
    <w:rsid w:val="004B6432"/>
    <w:rsid w:val="004B652D"/>
    <w:rsid w:val="004B6A8D"/>
    <w:rsid w:val="004C01EA"/>
    <w:rsid w:val="004C057D"/>
    <w:rsid w:val="004C0E52"/>
    <w:rsid w:val="004C1319"/>
    <w:rsid w:val="004C136E"/>
    <w:rsid w:val="004C1530"/>
    <w:rsid w:val="004C1D2A"/>
    <w:rsid w:val="004C25F3"/>
    <w:rsid w:val="004C288E"/>
    <w:rsid w:val="004C2E1C"/>
    <w:rsid w:val="004C3A5D"/>
    <w:rsid w:val="004C3FB7"/>
    <w:rsid w:val="004C4A19"/>
    <w:rsid w:val="004C4D9A"/>
    <w:rsid w:val="004C5287"/>
    <w:rsid w:val="004C550F"/>
    <w:rsid w:val="004C5679"/>
    <w:rsid w:val="004C60B5"/>
    <w:rsid w:val="004C6E32"/>
    <w:rsid w:val="004C79B1"/>
    <w:rsid w:val="004C7FFD"/>
    <w:rsid w:val="004D0096"/>
    <w:rsid w:val="004D0B66"/>
    <w:rsid w:val="004D0F9C"/>
    <w:rsid w:val="004D1640"/>
    <w:rsid w:val="004D2119"/>
    <w:rsid w:val="004D29D5"/>
    <w:rsid w:val="004D2ADF"/>
    <w:rsid w:val="004D2B0D"/>
    <w:rsid w:val="004D2D54"/>
    <w:rsid w:val="004D443C"/>
    <w:rsid w:val="004D6213"/>
    <w:rsid w:val="004D6537"/>
    <w:rsid w:val="004D6FF3"/>
    <w:rsid w:val="004D79A8"/>
    <w:rsid w:val="004E0BCE"/>
    <w:rsid w:val="004E11B1"/>
    <w:rsid w:val="004E1E29"/>
    <w:rsid w:val="004E21B9"/>
    <w:rsid w:val="004E39D6"/>
    <w:rsid w:val="004E3BE5"/>
    <w:rsid w:val="004E4392"/>
    <w:rsid w:val="004E4441"/>
    <w:rsid w:val="004E4553"/>
    <w:rsid w:val="004E4953"/>
    <w:rsid w:val="004E56E1"/>
    <w:rsid w:val="004E580C"/>
    <w:rsid w:val="004E59D2"/>
    <w:rsid w:val="004E5B60"/>
    <w:rsid w:val="004E69A1"/>
    <w:rsid w:val="004E6B1D"/>
    <w:rsid w:val="004E6E45"/>
    <w:rsid w:val="004E743D"/>
    <w:rsid w:val="004E7506"/>
    <w:rsid w:val="004E7A1A"/>
    <w:rsid w:val="004E7DB8"/>
    <w:rsid w:val="004F05F3"/>
    <w:rsid w:val="004F0860"/>
    <w:rsid w:val="004F0AC0"/>
    <w:rsid w:val="004F0C9D"/>
    <w:rsid w:val="004F17E9"/>
    <w:rsid w:val="004F2D23"/>
    <w:rsid w:val="004F312C"/>
    <w:rsid w:val="004F354D"/>
    <w:rsid w:val="004F366E"/>
    <w:rsid w:val="004F375D"/>
    <w:rsid w:val="004F383E"/>
    <w:rsid w:val="004F4828"/>
    <w:rsid w:val="004F4A8D"/>
    <w:rsid w:val="004F590C"/>
    <w:rsid w:val="004F67AF"/>
    <w:rsid w:val="004F6826"/>
    <w:rsid w:val="004F7297"/>
    <w:rsid w:val="004F76BA"/>
    <w:rsid w:val="00501605"/>
    <w:rsid w:val="00501A5F"/>
    <w:rsid w:val="00501B6C"/>
    <w:rsid w:val="00501FA1"/>
    <w:rsid w:val="0050258B"/>
    <w:rsid w:val="0050298D"/>
    <w:rsid w:val="00502EE6"/>
    <w:rsid w:val="00504DFE"/>
    <w:rsid w:val="0050501A"/>
    <w:rsid w:val="005065F4"/>
    <w:rsid w:val="00506624"/>
    <w:rsid w:val="00506626"/>
    <w:rsid w:val="00507A4E"/>
    <w:rsid w:val="0051028D"/>
    <w:rsid w:val="005104B5"/>
    <w:rsid w:val="00510924"/>
    <w:rsid w:val="00511525"/>
    <w:rsid w:val="0051159B"/>
    <w:rsid w:val="00511D82"/>
    <w:rsid w:val="0051386C"/>
    <w:rsid w:val="005140A4"/>
    <w:rsid w:val="005147C0"/>
    <w:rsid w:val="005148E7"/>
    <w:rsid w:val="00514A11"/>
    <w:rsid w:val="005150C7"/>
    <w:rsid w:val="0051554A"/>
    <w:rsid w:val="00515620"/>
    <w:rsid w:val="00515699"/>
    <w:rsid w:val="0051607A"/>
    <w:rsid w:val="005163C2"/>
    <w:rsid w:val="005169D1"/>
    <w:rsid w:val="00517C13"/>
    <w:rsid w:val="00517EA2"/>
    <w:rsid w:val="00517F6F"/>
    <w:rsid w:val="005206AB"/>
    <w:rsid w:val="00521AC3"/>
    <w:rsid w:val="00522194"/>
    <w:rsid w:val="0052295F"/>
    <w:rsid w:val="00523E16"/>
    <w:rsid w:val="00524332"/>
    <w:rsid w:val="005244CB"/>
    <w:rsid w:val="00524730"/>
    <w:rsid w:val="00524772"/>
    <w:rsid w:val="0052745D"/>
    <w:rsid w:val="00527710"/>
    <w:rsid w:val="00527785"/>
    <w:rsid w:val="005277F9"/>
    <w:rsid w:val="00527869"/>
    <w:rsid w:val="0052788F"/>
    <w:rsid w:val="00530895"/>
    <w:rsid w:val="005308B6"/>
    <w:rsid w:val="00530C37"/>
    <w:rsid w:val="00531109"/>
    <w:rsid w:val="00531152"/>
    <w:rsid w:val="00531C26"/>
    <w:rsid w:val="0053221F"/>
    <w:rsid w:val="00532E69"/>
    <w:rsid w:val="005343AB"/>
    <w:rsid w:val="00534FC9"/>
    <w:rsid w:val="00534FDD"/>
    <w:rsid w:val="005358C5"/>
    <w:rsid w:val="00535C86"/>
    <w:rsid w:val="005369F9"/>
    <w:rsid w:val="0053708F"/>
    <w:rsid w:val="005370A1"/>
    <w:rsid w:val="0053731D"/>
    <w:rsid w:val="00537617"/>
    <w:rsid w:val="00537D30"/>
    <w:rsid w:val="00537F9B"/>
    <w:rsid w:val="0054095F"/>
    <w:rsid w:val="005425B1"/>
    <w:rsid w:val="0054307E"/>
    <w:rsid w:val="00543197"/>
    <w:rsid w:val="005436C0"/>
    <w:rsid w:val="005438E6"/>
    <w:rsid w:val="00543E6B"/>
    <w:rsid w:val="00543F2F"/>
    <w:rsid w:val="00543F3C"/>
    <w:rsid w:val="00544386"/>
    <w:rsid w:val="00544DE7"/>
    <w:rsid w:val="0054593B"/>
    <w:rsid w:val="00546157"/>
    <w:rsid w:val="005462FB"/>
    <w:rsid w:val="00546875"/>
    <w:rsid w:val="00546A65"/>
    <w:rsid w:val="00547451"/>
    <w:rsid w:val="005474F5"/>
    <w:rsid w:val="00547AA0"/>
    <w:rsid w:val="00547D79"/>
    <w:rsid w:val="005500E2"/>
    <w:rsid w:val="00550550"/>
    <w:rsid w:val="00550CCE"/>
    <w:rsid w:val="00551305"/>
    <w:rsid w:val="005516A4"/>
    <w:rsid w:val="0055269B"/>
    <w:rsid w:val="00552736"/>
    <w:rsid w:val="00552DDF"/>
    <w:rsid w:val="00553792"/>
    <w:rsid w:val="00554D60"/>
    <w:rsid w:val="00554F6C"/>
    <w:rsid w:val="00555847"/>
    <w:rsid w:val="00556B33"/>
    <w:rsid w:val="00556FB6"/>
    <w:rsid w:val="0055748A"/>
    <w:rsid w:val="00557E0B"/>
    <w:rsid w:val="00560021"/>
    <w:rsid w:val="0056008B"/>
    <w:rsid w:val="005601F3"/>
    <w:rsid w:val="00560704"/>
    <w:rsid w:val="005609C9"/>
    <w:rsid w:val="00560C42"/>
    <w:rsid w:val="00561252"/>
    <w:rsid w:val="00561483"/>
    <w:rsid w:val="0056165A"/>
    <w:rsid w:val="005627E9"/>
    <w:rsid w:val="00562B9A"/>
    <w:rsid w:val="00562C17"/>
    <w:rsid w:val="00563498"/>
    <w:rsid w:val="00563EFE"/>
    <w:rsid w:val="00564610"/>
    <w:rsid w:val="005646A5"/>
    <w:rsid w:val="005658B6"/>
    <w:rsid w:val="00565EB3"/>
    <w:rsid w:val="0056609D"/>
    <w:rsid w:val="00566902"/>
    <w:rsid w:val="00566DB0"/>
    <w:rsid w:val="00567758"/>
    <w:rsid w:val="005707E2"/>
    <w:rsid w:val="00571B5C"/>
    <w:rsid w:val="00574531"/>
    <w:rsid w:val="005746C7"/>
    <w:rsid w:val="005749F6"/>
    <w:rsid w:val="00574B50"/>
    <w:rsid w:val="00574CD4"/>
    <w:rsid w:val="00574F2E"/>
    <w:rsid w:val="005753E5"/>
    <w:rsid w:val="0057559A"/>
    <w:rsid w:val="00575878"/>
    <w:rsid w:val="005775B3"/>
    <w:rsid w:val="00577664"/>
    <w:rsid w:val="0057773A"/>
    <w:rsid w:val="00577EE1"/>
    <w:rsid w:val="005808B3"/>
    <w:rsid w:val="00580A18"/>
    <w:rsid w:val="0058195F"/>
    <w:rsid w:val="00582322"/>
    <w:rsid w:val="00583522"/>
    <w:rsid w:val="00583568"/>
    <w:rsid w:val="005837AA"/>
    <w:rsid w:val="00583891"/>
    <w:rsid w:val="00583C74"/>
    <w:rsid w:val="00584E67"/>
    <w:rsid w:val="00585003"/>
    <w:rsid w:val="005855CA"/>
    <w:rsid w:val="00585881"/>
    <w:rsid w:val="0058597D"/>
    <w:rsid w:val="00587A1D"/>
    <w:rsid w:val="005903E4"/>
    <w:rsid w:val="00591C67"/>
    <w:rsid w:val="00591DD0"/>
    <w:rsid w:val="0059225C"/>
    <w:rsid w:val="00592B60"/>
    <w:rsid w:val="0059362C"/>
    <w:rsid w:val="00593959"/>
    <w:rsid w:val="00593D00"/>
    <w:rsid w:val="00593E9D"/>
    <w:rsid w:val="00594310"/>
    <w:rsid w:val="005955A4"/>
    <w:rsid w:val="00595C13"/>
    <w:rsid w:val="00595CB5"/>
    <w:rsid w:val="00595D2D"/>
    <w:rsid w:val="00595DBB"/>
    <w:rsid w:val="0059608A"/>
    <w:rsid w:val="00596817"/>
    <w:rsid w:val="00597088"/>
    <w:rsid w:val="005A0A95"/>
    <w:rsid w:val="005A0FA3"/>
    <w:rsid w:val="005A115C"/>
    <w:rsid w:val="005A1238"/>
    <w:rsid w:val="005A1407"/>
    <w:rsid w:val="005A2289"/>
    <w:rsid w:val="005A2549"/>
    <w:rsid w:val="005A25CD"/>
    <w:rsid w:val="005A2B77"/>
    <w:rsid w:val="005A2E3B"/>
    <w:rsid w:val="005A304E"/>
    <w:rsid w:val="005A3160"/>
    <w:rsid w:val="005A3DD9"/>
    <w:rsid w:val="005A5021"/>
    <w:rsid w:val="005A510D"/>
    <w:rsid w:val="005A53B9"/>
    <w:rsid w:val="005A6282"/>
    <w:rsid w:val="005A67AB"/>
    <w:rsid w:val="005A6C09"/>
    <w:rsid w:val="005B25C7"/>
    <w:rsid w:val="005B32BD"/>
    <w:rsid w:val="005B345D"/>
    <w:rsid w:val="005B36B8"/>
    <w:rsid w:val="005B389B"/>
    <w:rsid w:val="005B4221"/>
    <w:rsid w:val="005B5799"/>
    <w:rsid w:val="005B57CC"/>
    <w:rsid w:val="005B5A82"/>
    <w:rsid w:val="005B5EE9"/>
    <w:rsid w:val="005B6D3F"/>
    <w:rsid w:val="005B71A2"/>
    <w:rsid w:val="005B7361"/>
    <w:rsid w:val="005B78C3"/>
    <w:rsid w:val="005C039E"/>
    <w:rsid w:val="005C12F0"/>
    <w:rsid w:val="005C1DB3"/>
    <w:rsid w:val="005C22D3"/>
    <w:rsid w:val="005C387D"/>
    <w:rsid w:val="005C4209"/>
    <w:rsid w:val="005C4385"/>
    <w:rsid w:val="005C487E"/>
    <w:rsid w:val="005C48F5"/>
    <w:rsid w:val="005C4DB8"/>
    <w:rsid w:val="005C5094"/>
    <w:rsid w:val="005C5108"/>
    <w:rsid w:val="005C5E88"/>
    <w:rsid w:val="005C5F78"/>
    <w:rsid w:val="005C7560"/>
    <w:rsid w:val="005C77C6"/>
    <w:rsid w:val="005C7BAA"/>
    <w:rsid w:val="005D1561"/>
    <w:rsid w:val="005D19EE"/>
    <w:rsid w:val="005D1B30"/>
    <w:rsid w:val="005D1CB0"/>
    <w:rsid w:val="005D1FC1"/>
    <w:rsid w:val="005D219A"/>
    <w:rsid w:val="005D4629"/>
    <w:rsid w:val="005D4A05"/>
    <w:rsid w:val="005D50C5"/>
    <w:rsid w:val="005D50C7"/>
    <w:rsid w:val="005D5894"/>
    <w:rsid w:val="005D6F61"/>
    <w:rsid w:val="005D7295"/>
    <w:rsid w:val="005D74EF"/>
    <w:rsid w:val="005D75A6"/>
    <w:rsid w:val="005D7608"/>
    <w:rsid w:val="005D7BDF"/>
    <w:rsid w:val="005E158A"/>
    <w:rsid w:val="005E196D"/>
    <w:rsid w:val="005E1C91"/>
    <w:rsid w:val="005E1D0B"/>
    <w:rsid w:val="005E2696"/>
    <w:rsid w:val="005E4A5B"/>
    <w:rsid w:val="005E4E41"/>
    <w:rsid w:val="005E5C01"/>
    <w:rsid w:val="005E6515"/>
    <w:rsid w:val="005E68DF"/>
    <w:rsid w:val="005E697B"/>
    <w:rsid w:val="005E7D96"/>
    <w:rsid w:val="005F071B"/>
    <w:rsid w:val="005F0A71"/>
    <w:rsid w:val="005F0D66"/>
    <w:rsid w:val="005F139D"/>
    <w:rsid w:val="005F2789"/>
    <w:rsid w:val="005F283B"/>
    <w:rsid w:val="005F3138"/>
    <w:rsid w:val="005F3EFB"/>
    <w:rsid w:val="005F49D9"/>
    <w:rsid w:val="005F4A23"/>
    <w:rsid w:val="005F54C6"/>
    <w:rsid w:val="005F5819"/>
    <w:rsid w:val="005F582E"/>
    <w:rsid w:val="005F5AC0"/>
    <w:rsid w:val="005F5F51"/>
    <w:rsid w:val="005F63A2"/>
    <w:rsid w:val="005F7C08"/>
    <w:rsid w:val="005F7F09"/>
    <w:rsid w:val="006005AD"/>
    <w:rsid w:val="00601262"/>
    <w:rsid w:val="00602C7D"/>
    <w:rsid w:val="00602E93"/>
    <w:rsid w:val="00603583"/>
    <w:rsid w:val="00603B65"/>
    <w:rsid w:val="006050D3"/>
    <w:rsid w:val="006051B0"/>
    <w:rsid w:val="006052C5"/>
    <w:rsid w:val="006073CD"/>
    <w:rsid w:val="00607853"/>
    <w:rsid w:val="00607F78"/>
    <w:rsid w:val="00610A25"/>
    <w:rsid w:val="00610CA4"/>
    <w:rsid w:val="00610E46"/>
    <w:rsid w:val="0061135A"/>
    <w:rsid w:val="00613135"/>
    <w:rsid w:val="00613141"/>
    <w:rsid w:val="00614ED3"/>
    <w:rsid w:val="0061510D"/>
    <w:rsid w:val="006151B6"/>
    <w:rsid w:val="00615366"/>
    <w:rsid w:val="0061539B"/>
    <w:rsid w:val="0061588F"/>
    <w:rsid w:val="00615BD1"/>
    <w:rsid w:val="00615C90"/>
    <w:rsid w:val="00616529"/>
    <w:rsid w:val="00616597"/>
    <w:rsid w:val="0061702D"/>
    <w:rsid w:val="00617717"/>
    <w:rsid w:val="00617988"/>
    <w:rsid w:val="00620161"/>
    <w:rsid w:val="00620AC7"/>
    <w:rsid w:val="0062124B"/>
    <w:rsid w:val="006217D9"/>
    <w:rsid w:val="00621D44"/>
    <w:rsid w:val="0062238C"/>
    <w:rsid w:val="00622550"/>
    <w:rsid w:val="00622760"/>
    <w:rsid w:val="00622CA7"/>
    <w:rsid w:val="0062324E"/>
    <w:rsid w:val="006235E7"/>
    <w:rsid w:val="00623BC0"/>
    <w:rsid w:val="00623BE5"/>
    <w:rsid w:val="00623C63"/>
    <w:rsid w:val="00623D49"/>
    <w:rsid w:val="0062432F"/>
    <w:rsid w:val="0062439A"/>
    <w:rsid w:val="0062460D"/>
    <w:rsid w:val="00624869"/>
    <w:rsid w:val="00624CB0"/>
    <w:rsid w:val="00624E10"/>
    <w:rsid w:val="00625901"/>
    <w:rsid w:val="0062623B"/>
    <w:rsid w:val="00626755"/>
    <w:rsid w:val="006273FA"/>
    <w:rsid w:val="006274F0"/>
    <w:rsid w:val="0062791C"/>
    <w:rsid w:val="00630033"/>
    <w:rsid w:val="006311FD"/>
    <w:rsid w:val="006313D6"/>
    <w:rsid w:val="00631FD7"/>
    <w:rsid w:val="00632BC2"/>
    <w:rsid w:val="006331A7"/>
    <w:rsid w:val="00633348"/>
    <w:rsid w:val="00633819"/>
    <w:rsid w:val="0063408F"/>
    <w:rsid w:val="0063481E"/>
    <w:rsid w:val="00634D9F"/>
    <w:rsid w:val="006356E6"/>
    <w:rsid w:val="0063622C"/>
    <w:rsid w:val="006366A4"/>
    <w:rsid w:val="00636841"/>
    <w:rsid w:val="006368D1"/>
    <w:rsid w:val="00636B67"/>
    <w:rsid w:val="00636BBC"/>
    <w:rsid w:val="00637FFB"/>
    <w:rsid w:val="006404BB"/>
    <w:rsid w:val="006410F3"/>
    <w:rsid w:val="0064205C"/>
    <w:rsid w:val="00642C4E"/>
    <w:rsid w:val="006431ED"/>
    <w:rsid w:val="006433BD"/>
    <w:rsid w:val="00643837"/>
    <w:rsid w:val="00644A06"/>
    <w:rsid w:val="00644D64"/>
    <w:rsid w:val="00644D6E"/>
    <w:rsid w:val="006451FF"/>
    <w:rsid w:val="0064545A"/>
    <w:rsid w:val="00645643"/>
    <w:rsid w:val="006457FB"/>
    <w:rsid w:val="00645F3D"/>
    <w:rsid w:val="0064620D"/>
    <w:rsid w:val="00646DEC"/>
    <w:rsid w:val="006477B0"/>
    <w:rsid w:val="00647967"/>
    <w:rsid w:val="00647DB2"/>
    <w:rsid w:val="00650028"/>
    <w:rsid w:val="006502A7"/>
    <w:rsid w:val="00650E66"/>
    <w:rsid w:val="006518F1"/>
    <w:rsid w:val="00651D31"/>
    <w:rsid w:val="00652285"/>
    <w:rsid w:val="00652716"/>
    <w:rsid w:val="00652D43"/>
    <w:rsid w:val="006530FF"/>
    <w:rsid w:val="0065324C"/>
    <w:rsid w:val="00653457"/>
    <w:rsid w:val="0065364F"/>
    <w:rsid w:val="006539A4"/>
    <w:rsid w:val="00653CB7"/>
    <w:rsid w:val="00653DCA"/>
    <w:rsid w:val="00654650"/>
    <w:rsid w:val="0065476A"/>
    <w:rsid w:val="006547E6"/>
    <w:rsid w:val="00654B36"/>
    <w:rsid w:val="006563A5"/>
    <w:rsid w:val="0065647B"/>
    <w:rsid w:val="00657E88"/>
    <w:rsid w:val="0066033D"/>
    <w:rsid w:val="00660BE3"/>
    <w:rsid w:val="00661CF8"/>
    <w:rsid w:val="00661FD0"/>
    <w:rsid w:val="0066203B"/>
    <w:rsid w:val="006630C8"/>
    <w:rsid w:val="006640AB"/>
    <w:rsid w:val="00664370"/>
    <w:rsid w:val="00664884"/>
    <w:rsid w:val="00664A5A"/>
    <w:rsid w:val="00664E5C"/>
    <w:rsid w:val="006654C4"/>
    <w:rsid w:val="006664DF"/>
    <w:rsid w:val="0066666E"/>
    <w:rsid w:val="00666719"/>
    <w:rsid w:val="00667541"/>
    <w:rsid w:val="00667959"/>
    <w:rsid w:val="00667F11"/>
    <w:rsid w:val="00667FCB"/>
    <w:rsid w:val="00670BA2"/>
    <w:rsid w:val="00671082"/>
    <w:rsid w:val="006713C0"/>
    <w:rsid w:val="00672896"/>
    <w:rsid w:val="006728AF"/>
    <w:rsid w:val="00672B65"/>
    <w:rsid w:val="006730AE"/>
    <w:rsid w:val="00673344"/>
    <w:rsid w:val="0067380B"/>
    <w:rsid w:val="00673B00"/>
    <w:rsid w:val="006746B1"/>
    <w:rsid w:val="006748E4"/>
    <w:rsid w:val="00674993"/>
    <w:rsid w:val="00674AC7"/>
    <w:rsid w:val="00674EB6"/>
    <w:rsid w:val="0067576B"/>
    <w:rsid w:val="00676281"/>
    <w:rsid w:val="006767D4"/>
    <w:rsid w:val="00676842"/>
    <w:rsid w:val="00676BC5"/>
    <w:rsid w:val="00676EDA"/>
    <w:rsid w:val="0067732D"/>
    <w:rsid w:val="00677391"/>
    <w:rsid w:val="00677561"/>
    <w:rsid w:val="0068055A"/>
    <w:rsid w:val="00680FD1"/>
    <w:rsid w:val="00681D60"/>
    <w:rsid w:val="00682447"/>
    <w:rsid w:val="006830CA"/>
    <w:rsid w:val="006835B2"/>
    <w:rsid w:val="0068384A"/>
    <w:rsid w:val="00684CB1"/>
    <w:rsid w:val="0068510D"/>
    <w:rsid w:val="00685EA7"/>
    <w:rsid w:val="0068614C"/>
    <w:rsid w:val="0068616C"/>
    <w:rsid w:val="00686648"/>
    <w:rsid w:val="006867E1"/>
    <w:rsid w:val="00687299"/>
    <w:rsid w:val="006876D5"/>
    <w:rsid w:val="006878F8"/>
    <w:rsid w:val="0069175F"/>
    <w:rsid w:val="00691B62"/>
    <w:rsid w:val="00691EE9"/>
    <w:rsid w:val="00692D50"/>
    <w:rsid w:val="00692EFE"/>
    <w:rsid w:val="006930D4"/>
    <w:rsid w:val="006937A7"/>
    <w:rsid w:val="006942A8"/>
    <w:rsid w:val="00694E48"/>
    <w:rsid w:val="00695385"/>
    <w:rsid w:val="006957E9"/>
    <w:rsid w:val="00695A8E"/>
    <w:rsid w:val="00695FCE"/>
    <w:rsid w:val="00696A6D"/>
    <w:rsid w:val="006A0969"/>
    <w:rsid w:val="006A1290"/>
    <w:rsid w:val="006A1D38"/>
    <w:rsid w:val="006A297C"/>
    <w:rsid w:val="006A2F96"/>
    <w:rsid w:val="006A3344"/>
    <w:rsid w:val="006A3545"/>
    <w:rsid w:val="006A3D85"/>
    <w:rsid w:val="006A4570"/>
    <w:rsid w:val="006A478A"/>
    <w:rsid w:val="006A4DD0"/>
    <w:rsid w:val="006A5300"/>
    <w:rsid w:val="006A5854"/>
    <w:rsid w:val="006A591E"/>
    <w:rsid w:val="006A5ED4"/>
    <w:rsid w:val="006A65FC"/>
    <w:rsid w:val="006A664D"/>
    <w:rsid w:val="006A6F77"/>
    <w:rsid w:val="006A774B"/>
    <w:rsid w:val="006A7DDD"/>
    <w:rsid w:val="006B002D"/>
    <w:rsid w:val="006B00F6"/>
    <w:rsid w:val="006B15AD"/>
    <w:rsid w:val="006B25D5"/>
    <w:rsid w:val="006B27F7"/>
    <w:rsid w:val="006B312D"/>
    <w:rsid w:val="006B389E"/>
    <w:rsid w:val="006B3B11"/>
    <w:rsid w:val="006B4437"/>
    <w:rsid w:val="006B573B"/>
    <w:rsid w:val="006B5F69"/>
    <w:rsid w:val="006B5F9A"/>
    <w:rsid w:val="006B689E"/>
    <w:rsid w:val="006B6D71"/>
    <w:rsid w:val="006B7C3F"/>
    <w:rsid w:val="006B7CB1"/>
    <w:rsid w:val="006B7D7E"/>
    <w:rsid w:val="006C0667"/>
    <w:rsid w:val="006C0C3A"/>
    <w:rsid w:val="006C0E99"/>
    <w:rsid w:val="006C0F80"/>
    <w:rsid w:val="006C1989"/>
    <w:rsid w:val="006C1AC8"/>
    <w:rsid w:val="006C1DAA"/>
    <w:rsid w:val="006C26E7"/>
    <w:rsid w:val="006C4F89"/>
    <w:rsid w:val="006C502D"/>
    <w:rsid w:val="006C5A9A"/>
    <w:rsid w:val="006C5F0D"/>
    <w:rsid w:val="006C5FC6"/>
    <w:rsid w:val="006C62B4"/>
    <w:rsid w:val="006C7289"/>
    <w:rsid w:val="006C7843"/>
    <w:rsid w:val="006D06DB"/>
    <w:rsid w:val="006D0DD5"/>
    <w:rsid w:val="006D1DC0"/>
    <w:rsid w:val="006D223C"/>
    <w:rsid w:val="006D23D5"/>
    <w:rsid w:val="006D255B"/>
    <w:rsid w:val="006D2703"/>
    <w:rsid w:val="006D2AFA"/>
    <w:rsid w:val="006D2B32"/>
    <w:rsid w:val="006D3B07"/>
    <w:rsid w:val="006D3E21"/>
    <w:rsid w:val="006D4220"/>
    <w:rsid w:val="006D528D"/>
    <w:rsid w:val="006D5D7E"/>
    <w:rsid w:val="006D6125"/>
    <w:rsid w:val="006D62E7"/>
    <w:rsid w:val="006D7481"/>
    <w:rsid w:val="006D7589"/>
    <w:rsid w:val="006D767D"/>
    <w:rsid w:val="006D772C"/>
    <w:rsid w:val="006D777E"/>
    <w:rsid w:val="006D7892"/>
    <w:rsid w:val="006D7F40"/>
    <w:rsid w:val="006D7F9C"/>
    <w:rsid w:val="006D7FB5"/>
    <w:rsid w:val="006E051C"/>
    <w:rsid w:val="006E0623"/>
    <w:rsid w:val="006E09AE"/>
    <w:rsid w:val="006E1945"/>
    <w:rsid w:val="006E1D38"/>
    <w:rsid w:val="006E1DEC"/>
    <w:rsid w:val="006E276D"/>
    <w:rsid w:val="006E2F86"/>
    <w:rsid w:val="006E34D9"/>
    <w:rsid w:val="006E359C"/>
    <w:rsid w:val="006E39E9"/>
    <w:rsid w:val="006E481E"/>
    <w:rsid w:val="006E50B2"/>
    <w:rsid w:val="006E5686"/>
    <w:rsid w:val="006E59CE"/>
    <w:rsid w:val="006E5D17"/>
    <w:rsid w:val="006E60EA"/>
    <w:rsid w:val="006E6AC6"/>
    <w:rsid w:val="006E6BE5"/>
    <w:rsid w:val="006E6D81"/>
    <w:rsid w:val="006F02BB"/>
    <w:rsid w:val="006F03E2"/>
    <w:rsid w:val="006F0DC8"/>
    <w:rsid w:val="006F17C1"/>
    <w:rsid w:val="006F28A4"/>
    <w:rsid w:val="006F2A2A"/>
    <w:rsid w:val="006F2D4B"/>
    <w:rsid w:val="006F3C60"/>
    <w:rsid w:val="006F3DF4"/>
    <w:rsid w:val="006F3FD1"/>
    <w:rsid w:val="006F4B9B"/>
    <w:rsid w:val="006F53F3"/>
    <w:rsid w:val="006F5A65"/>
    <w:rsid w:val="006F6574"/>
    <w:rsid w:val="0070105D"/>
    <w:rsid w:val="00701319"/>
    <w:rsid w:val="00701DF3"/>
    <w:rsid w:val="00701E98"/>
    <w:rsid w:val="00701FB5"/>
    <w:rsid w:val="00702565"/>
    <w:rsid w:val="00702F55"/>
    <w:rsid w:val="00703EF0"/>
    <w:rsid w:val="00704464"/>
    <w:rsid w:val="00704770"/>
    <w:rsid w:val="0070528A"/>
    <w:rsid w:val="00705CAB"/>
    <w:rsid w:val="0070611F"/>
    <w:rsid w:val="00706341"/>
    <w:rsid w:val="007066AC"/>
    <w:rsid w:val="007101AA"/>
    <w:rsid w:val="0071050D"/>
    <w:rsid w:val="00710B28"/>
    <w:rsid w:val="00710FCA"/>
    <w:rsid w:val="00711C59"/>
    <w:rsid w:val="00712993"/>
    <w:rsid w:val="00712D97"/>
    <w:rsid w:val="00713E0A"/>
    <w:rsid w:val="0071479B"/>
    <w:rsid w:val="0071481B"/>
    <w:rsid w:val="00714A6A"/>
    <w:rsid w:val="00714D4D"/>
    <w:rsid w:val="00715E28"/>
    <w:rsid w:val="007178F7"/>
    <w:rsid w:val="00717A99"/>
    <w:rsid w:val="00720523"/>
    <w:rsid w:val="0072059E"/>
    <w:rsid w:val="00720626"/>
    <w:rsid w:val="007207E2"/>
    <w:rsid w:val="00721150"/>
    <w:rsid w:val="007221FC"/>
    <w:rsid w:val="00722286"/>
    <w:rsid w:val="00722329"/>
    <w:rsid w:val="0072270D"/>
    <w:rsid w:val="00723661"/>
    <w:rsid w:val="00723667"/>
    <w:rsid w:val="007254F3"/>
    <w:rsid w:val="00725A56"/>
    <w:rsid w:val="00726913"/>
    <w:rsid w:val="00727AFB"/>
    <w:rsid w:val="00727B51"/>
    <w:rsid w:val="00727EB6"/>
    <w:rsid w:val="00727F9A"/>
    <w:rsid w:val="0073026F"/>
    <w:rsid w:val="00730707"/>
    <w:rsid w:val="007307F4"/>
    <w:rsid w:val="00731DAD"/>
    <w:rsid w:val="0073234F"/>
    <w:rsid w:val="00732AD0"/>
    <w:rsid w:val="007334D5"/>
    <w:rsid w:val="00733E44"/>
    <w:rsid w:val="0073417A"/>
    <w:rsid w:val="007342B7"/>
    <w:rsid w:val="00734855"/>
    <w:rsid w:val="00734F13"/>
    <w:rsid w:val="00735338"/>
    <w:rsid w:val="007375C9"/>
    <w:rsid w:val="0073766E"/>
    <w:rsid w:val="00737913"/>
    <w:rsid w:val="00740F24"/>
    <w:rsid w:val="00740F48"/>
    <w:rsid w:val="00741B4A"/>
    <w:rsid w:val="00742E3F"/>
    <w:rsid w:val="007435EF"/>
    <w:rsid w:val="0074360A"/>
    <w:rsid w:val="00743B93"/>
    <w:rsid w:val="00743C11"/>
    <w:rsid w:val="007442E8"/>
    <w:rsid w:val="007445DE"/>
    <w:rsid w:val="00744A42"/>
    <w:rsid w:val="00745532"/>
    <w:rsid w:val="007457C6"/>
    <w:rsid w:val="00745BDF"/>
    <w:rsid w:val="0074745F"/>
    <w:rsid w:val="00747A2F"/>
    <w:rsid w:val="00750C1E"/>
    <w:rsid w:val="00751277"/>
    <w:rsid w:val="0075166F"/>
    <w:rsid w:val="00751A1B"/>
    <w:rsid w:val="00753D82"/>
    <w:rsid w:val="00754052"/>
    <w:rsid w:val="0075428E"/>
    <w:rsid w:val="007542ED"/>
    <w:rsid w:val="007548BC"/>
    <w:rsid w:val="00754B02"/>
    <w:rsid w:val="007550E6"/>
    <w:rsid w:val="00755221"/>
    <w:rsid w:val="007553F1"/>
    <w:rsid w:val="007566D3"/>
    <w:rsid w:val="00756822"/>
    <w:rsid w:val="00756852"/>
    <w:rsid w:val="007568E2"/>
    <w:rsid w:val="00756A81"/>
    <w:rsid w:val="00757354"/>
    <w:rsid w:val="00757372"/>
    <w:rsid w:val="00760348"/>
    <w:rsid w:val="0076054F"/>
    <w:rsid w:val="00760B59"/>
    <w:rsid w:val="0076158A"/>
    <w:rsid w:val="0076175E"/>
    <w:rsid w:val="00761792"/>
    <w:rsid w:val="007620EF"/>
    <w:rsid w:val="0076212F"/>
    <w:rsid w:val="00762238"/>
    <w:rsid w:val="00762910"/>
    <w:rsid w:val="00762A2B"/>
    <w:rsid w:val="007637F6"/>
    <w:rsid w:val="0076480C"/>
    <w:rsid w:val="0076526C"/>
    <w:rsid w:val="007658AF"/>
    <w:rsid w:val="00765A8B"/>
    <w:rsid w:val="00767A28"/>
    <w:rsid w:val="00767F50"/>
    <w:rsid w:val="0077052A"/>
    <w:rsid w:val="0077067B"/>
    <w:rsid w:val="0077111D"/>
    <w:rsid w:val="00771A59"/>
    <w:rsid w:val="00771AC0"/>
    <w:rsid w:val="00771DF8"/>
    <w:rsid w:val="0077246E"/>
    <w:rsid w:val="007739BE"/>
    <w:rsid w:val="007741BA"/>
    <w:rsid w:val="0077446E"/>
    <w:rsid w:val="00774728"/>
    <w:rsid w:val="00774752"/>
    <w:rsid w:val="007763A8"/>
    <w:rsid w:val="00776954"/>
    <w:rsid w:val="00776C8C"/>
    <w:rsid w:val="00776EBC"/>
    <w:rsid w:val="00776F0B"/>
    <w:rsid w:val="00776F3D"/>
    <w:rsid w:val="00777399"/>
    <w:rsid w:val="00777AAB"/>
    <w:rsid w:val="00777C90"/>
    <w:rsid w:val="00777D6D"/>
    <w:rsid w:val="007809F1"/>
    <w:rsid w:val="00780BEB"/>
    <w:rsid w:val="00782274"/>
    <w:rsid w:val="007838EE"/>
    <w:rsid w:val="00783BCC"/>
    <w:rsid w:val="00783DE1"/>
    <w:rsid w:val="00784228"/>
    <w:rsid w:val="00785F99"/>
    <w:rsid w:val="0078729A"/>
    <w:rsid w:val="007875E1"/>
    <w:rsid w:val="00787AF4"/>
    <w:rsid w:val="00787C65"/>
    <w:rsid w:val="00790848"/>
    <w:rsid w:val="007909FD"/>
    <w:rsid w:val="007911AA"/>
    <w:rsid w:val="007911C4"/>
    <w:rsid w:val="0079134B"/>
    <w:rsid w:val="00791BC7"/>
    <w:rsid w:val="00791EE8"/>
    <w:rsid w:val="007920A2"/>
    <w:rsid w:val="007921F8"/>
    <w:rsid w:val="00792935"/>
    <w:rsid w:val="00793310"/>
    <w:rsid w:val="0079340E"/>
    <w:rsid w:val="00793C87"/>
    <w:rsid w:val="00793FDF"/>
    <w:rsid w:val="007958F3"/>
    <w:rsid w:val="00795D27"/>
    <w:rsid w:val="0079716A"/>
    <w:rsid w:val="0079739E"/>
    <w:rsid w:val="00797960"/>
    <w:rsid w:val="00797A5B"/>
    <w:rsid w:val="00797F99"/>
    <w:rsid w:val="007A0973"/>
    <w:rsid w:val="007A19D9"/>
    <w:rsid w:val="007A1FFA"/>
    <w:rsid w:val="007A34C4"/>
    <w:rsid w:val="007A3F68"/>
    <w:rsid w:val="007A45D0"/>
    <w:rsid w:val="007A45D9"/>
    <w:rsid w:val="007A4617"/>
    <w:rsid w:val="007A46E6"/>
    <w:rsid w:val="007A5198"/>
    <w:rsid w:val="007A66C3"/>
    <w:rsid w:val="007A73B6"/>
    <w:rsid w:val="007A7D38"/>
    <w:rsid w:val="007B13A5"/>
    <w:rsid w:val="007B225B"/>
    <w:rsid w:val="007B292D"/>
    <w:rsid w:val="007B29DB"/>
    <w:rsid w:val="007B2A20"/>
    <w:rsid w:val="007B2AFE"/>
    <w:rsid w:val="007B2BA1"/>
    <w:rsid w:val="007B2CDA"/>
    <w:rsid w:val="007B3A79"/>
    <w:rsid w:val="007B440A"/>
    <w:rsid w:val="007B47D4"/>
    <w:rsid w:val="007B5BD7"/>
    <w:rsid w:val="007B67B5"/>
    <w:rsid w:val="007B7B09"/>
    <w:rsid w:val="007B7C46"/>
    <w:rsid w:val="007B7E01"/>
    <w:rsid w:val="007B7E9F"/>
    <w:rsid w:val="007C0B41"/>
    <w:rsid w:val="007C1809"/>
    <w:rsid w:val="007C1A35"/>
    <w:rsid w:val="007C28BD"/>
    <w:rsid w:val="007C2B68"/>
    <w:rsid w:val="007C36BC"/>
    <w:rsid w:val="007C383F"/>
    <w:rsid w:val="007C3EAF"/>
    <w:rsid w:val="007C40C8"/>
    <w:rsid w:val="007C4655"/>
    <w:rsid w:val="007C5382"/>
    <w:rsid w:val="007C53AA"/>
    <w:rsid w:val="007C5989"/>
    <w:rsid w:val="007C5FAA"/>
    <w:rsid w:val="007C5FB8"/>
    <w:rsid w:val="007C623E"/>
    <w:rsid w:val="007C63F1"/>
    <w:rsid w:val="007C6C0D"/>
    <w:rsid w:val="007C7004"/>
    <w:rsid w:val="007C711F"/>
    <w:rsid w:val="007C727B"/>
    <w:rsid w:val="007D01F2"/>
    <w:rsid w:val="007D0253"/>
    <w:rsid w:val="007D05E6"/>
    <w:rsid w:val="007D0CFD"/>
    <w:rsid w:val="007D1316"/>
    <w:rsid w:val="007D15D2"/>
    <w:rsid w:val="007D1D36"/>
    <w:rsid w:val="007D1D4E"/>
    <w:rsid w:val="007D20B2"/>
    <w:rsid w:val="007D28B8"/>
    <w:rsid w:val="007D2B66"/>
    <w:rsid w:val="007D2C59"/>
    <w:rsid w:val="007D2F2C"/>
    <w:rsid w:val="007D3500"/>
    <w:rsid w:val="007D40C6"/>
    <w:rsid w:val="007D475D"/>
    <w:rsid w:val="007D49A0"/>
    <w:rsid w:val="007D4BF2"/>
    <w:rsid w:val="007D59A5"/>
    <w:rsid w:val="007D5C6F"/>
    <w:rsid w:val="007D6988"/>
    <w:rsid w:val="007D6B07"/>
    <w:rsid w:val="007D6EAF"/>
    <w:rsid w:val="007D74C4"/>
    <w:rsid w:val="007D7E9D"/>
    <w:rsid w:val="007E07CA"/>
    <w:rsid w:val="007E0936"/>
    <w:rsid w:val="007E1226"/>
    <w:rsid w:val="007E127D"/>
    <w:rsid w:val="007E1449"/>
    <w:rsid w:val="007E3A84"/>
    <w:rsid w:val="007E4199"/>
    <w:rsid w:val="007E49E2"/>
    <w:rsid w:val="007E4D78"/>
    <w:rsid w:val="007E5CE2"/>
    <w:rsid w:val="007E60BA"/>
    <w:rsid w:val="007E7B03"/>
    <w:rsid w:val="007F0920"/>
    <w:rsid w:val="007F096A"/>
    <w:rsid w:val="007F0FB6"/>
    <w:rsid w:val="007F1C71"/>
    <w:rsid w:val="007F1D01"/>
    <w:rsid w:val="007F1EF2"/>
    <w:rsid w:val="007F23E9"/>
    <w:rsid w:val="007F2D6C"/>
    <w:rsid w:val="007F3EEF"/>
    <w:rsid w:val="007F446A"/>
    <w:rsid w:val="007F4BB5"/>
    <w:rsid w:val="007F5143"/>
    <w:rsid w:val="007F52FD"/>
    <w:rsid w:val="007F6B9B"/>
    <w:rsid w:val="007F6FC0"/>
    <w:rsid w:val="007F797E"/>
    <w:rsid w:val="007F79DC"/>
    <w:rsid w:val="007F7BE9"/>
    <w:rsid w:val="00801253"/>
    <w:rsid w:val="0080160A"/>
    <w:rsid w:val="008016EB"/>
    <w:rsid w:val="00801E3C"/>
    <w:rsid w:val="0080287B"/>
    <w:rsid w:val="00802B9F"/>
    <w:rsid w:val="00802E09"/>
    <w:rsid w:val="008031C5"/>
    <w:rsid w:val="0080455D"/>
    <w:rsid w:val="0080597B"/>
    <w:rsid w:val="00805AD9"/>
    <w:rsid w:val="00806153"/>
    <w:rsid w:val="0080727B"/>
    <w:rsid w:val="008074FC"/>
    <w:rsid w:val="00807575"/>
    <w:rsid w:val="0080767E"/>
    <w:rsid w:val="00807783"/>
    <w:rsid w:val="00807AAD"/>
    <w:rsid w:val="00807C99"/>
    <w:rsid w:val="00810A75"/>
    <w:rsid w:val="008111DF"/>
    <w:rsid w:val="00812938"/>
    <w:rsid w:val="00813D2D"/>
    <w:rsid w:val="00816B19"/>
    <w:rsid w:val="00816F84"/>
    <w:rsid w:val="00816FC7"/>
    <w:rsid w:val="008178D6"/>
    <w:rsid w:val="00817A8C"/>
    <w:rsid w:val="00817AD2"/>
    <w:rsid w:val="008200F3"/>
    <w:rsid w:val="0082013E"/>
    <w:rsid w:val="008202A9"/>
    <w:rsid w:val="00820320"/>
    <w:rsid w:val="008203DA"/>
    <w:rsid w:val="008207CD"/>
    <w:rsid w:val="008208EF"/>
    <w:rsid w:val="00820DC8"/>
    <w:rsid w:val="00821640"/>
    <w:rsid w:val="00821A6A"/>
    <w:rsid w:val="00821B01"/>
    <w:rsid w:val="0082211F"/>
    <w:rsid w:val="008231BA"/>
    <w:rsid w:val="008237B7"/>
    <w:rsid w:val="00823AD8"/>
    <w:rsid w:val="00823D25"/>
    <w:rsid w:val="0082442C"/>
    <w:rsid w:val="008247A5"/>
    <w:rsid w:val="00824883"/>
    <w:rsid w:val="00824A56"/>
    <w:rsid w:val="00824D31"/>
    <w:rsid w:val="00824D9F"/>
    <w:rsid w:val="00824E98"/>
    <w:rsid w:val="00825193"/>
    <w:rsid w:val="008258CF"/>
    <w:rsid w:val="00825B91"/>
    <w:rsid w:val="00826611"/>
    <w:rsid w:val="008276C8"/>
    <w:rsid w:val="00827DF1"/>
    <w:rsid w:val="00830AAE"/>
    <w:rsid w:val="00832EEE"/>
    <w:rsid w:val="00833857"/>
    <w:rsid w:val="00833A9A"/>
    <w:rsid w:val="0083411C"/>
    <w:rsid w:val="00834323"/>
    <w:rsid w:val="008351E8"/>
    <w:rsid w:val="00835655"/>
    <w:rsid w:val="008363A8"/>
    <w:rsid w:val="008366BD"/>
    <w:rsid w:val="008368CA"/>
    <w:rsid w:val="00836E9F"/>
    <w:rsid w:val="0083714B"/>
    <w:rsid w:val="00837E46"/>
    <w:rsid w:val="008401EE"/>
    <w:rsid w:val="00840C91"/>
    <w:rsid w:val="00841BF5"/>
    <w:rsid w:val="0084231F"/>
    <w:rsid w:val="00842859"/>
    <w:rsid w:val="008431E9"/>
    <w:rsid w:val="0084328D"/>
    <w:rsid w:val="00843F9C"/>
    <w:rsid w:val="00845AFA"/>
    <w:rsid w:val="00845E1A"/>
    <w:rsid w:val="0084600C"/>
    <w:rsid w:val="00847CAD"/>
    <w:rsid w:val="00847FE4"/>
    <w:rsid w:val="008500B9"/>
    <w:rsid w:val="008501C5"/>
    <w:rsid w:val="00850678"/>
    <w:rsid w:val="00850940"/>
    <w:rsid w:val="00850CC2"/>
    <w:rsid w:val="00850CCB"/>
    <w:rsid w:val="00851B70"/>
    <w:rsid w:val="00851D93"/>
    <w:rsid w:val="00851FA8"/>
    <w:rsid w:val="008532AE"/>
    <w:rsid w:val="0085360C"/>
    <w:rsid w:val="00853D48"/>
    <w:rsid w:val="00855427"/>
    <w:rsid w:val="008555F9"/>
    <w:rsid w:val="008569B6"/>
    <w:rsid w:val="00857ADC"/>
    <w:rsid w:val="00857B28"/>
    <w:rsid w:val="00860776"/>
    <w:rsid w:val="0086151D"/>
    <w:rsid w:val="008624BC"/>
    <w:rsid w:val="00862D15"/>
    <w:rsid w:val="00863357"/>
    <w:rsid w:val="0086374E"/>
    <w:rsid w:val="00864144"/>
    <w:rsid w:val="00864613"/>
    <w:rsid w:val="00864CFF"/>
    <w:rsid w:val="00865B6A"/>
    <w:rsid w:val="00866158"/>
    <w:rsid w:val="0086620D"/>
    <w:rsid w:val="00866A75"/>
    <w:rsid w:val="008674AE"/>
    <w:rsid w:val="008675FF"/>
    <w:rsid w:val="00867794"/>
    <w:rsid w:val="00871ACC"/>
    <w:rsid w:val="00871C3E"/>
    <w:rsid w:val="008729D5"/>
    <w:rsid w:val="00872A76"/>
    <w:rsid w:val="008730E2"/>
    <w:rsid w:val="00873658"/>
    <w:rsid w:val="00873E8B"/>
    <w:rsid w:val="00873F60"/>
    <w:rsid w:val="00874839"/>
    <w:rsid w:val="00874DF1"/>
    <w:rsid w:val="00874FBE"/>
    <w:rsid w:val="00875AE3"/>
    <w:rsid w:val="00875AFC"/>
    <w:rsid w:val="00875AFF"/>
    <w:rsid w:val="00875F37"/>
    <w:rsid w:val="0087676A"/>
    <w:rsid w:val="008768AA"/>
    <w:rsid w:val="0087698C"/>
    <w:rsid w:val="00877989"/>
    <w:rsid w:val="00880C7E"/>
    <w:rsid w:val="00880EB8"/>
    <w:rsid w:val="00881B3D"/>
    <w:rsid w:val="00881E67"/>
    <w:rsid w:val="00881F35"/>
    <w:rsid w:val="008837C5"/>
    <w:rsid w:val="00884466"/>
    <w:rsid w:val="00884574"/>
    <w:rsid w:val="00884ACB"/>
    <w:rsid w:val="00884BC8"/>
    <w:rsid w:val="00884F42"/>
    <w:rsid w:val="00885013"/>
    <w:rsid w:val="00885DE4"/>
    <w:rsid w:val="00885EAC"/>
    <w:rsid w:val="00886547"/>
    <w:rsid w:val="0088696B"/>
    <w:rsid w:val="00886D03"/>
    <w:rsid w:val="00886DE5"/>
    <w:rsid w:val="0088734A"/>
    <w:rsid w:val="0088781D"/>
    <w:rsid w:val="00887A87"/>
    <w:rsid w:val="008901A0"/>
    <w:rsid w:val="00890933"/>
    <w:rsid w:val="008916DE"/>
    <w:rsid w:val="00891F6B"/>
    <w:rsid w:val="00892020"/>
    <w:rsid w:val="00893047"/>
    <w:rsid w:val="00893BC4"/>
    <w:rsid w:val="00893E2E"/>
    <w:rsid w:val="00894F25"/>
    <w:rsid w:val="00895123"/>
    <w:rsid w:val="008954AD"/>
    <w:rsid w:val="00896388"/>
    <w:rsid w:val="00896768"/>
    <w:rsid w:val="00896D70"/>
    <w:rsid w:val="008972E5"/>
    <w:rsid w:val="00897362"/>
    <w:rsid w:val="00897A91"/>
    <w:rsid w:val="008A065A"/>
    <w:rsid w:val="008A0CA0"/>
    <w:rsid w:val="008A0D6A"/>
    <w:rsid w:val="008A17FF"/>
    <w:rsid w:val="008A18B7"/>
    <w:rsid w:val="008A239C"/>
    <w:rsid w:val="008A2A28"/>
    <w:rsid w:val="008A2FF1"/>
    <w:rsid w:val="008A3259"/>
    <w:rsid w:val="008A36F1"/>
    <w:rsid w:val="008A3F33"/>
    <w:rsid w:val="008A40F2"/>
    <w:rsid w:val="008A62EB"/>
    <w:rsid w:val="008A6F40"/>
    <w:rsid w:val="008A70CA"/>
    <w:rsid w:val="008B0541"/>
    <w:rsid w:val="008B082D"/>
    <w:rsid w:val="008B0B69"/>
    <w:rsid w:val="008B2AAD"/>
    <w:rsid w:val="008B2B48"/>
    <w:rsid w:val="008B3045"/>
    <w:rsid w:val="008B3091"/>
    <w:rsid w:val="008B35BB"/>
    <w:rsid w:val="008B35D3"/>
    <w:rsid w:val="008B3B01"/>
    <w:rsid w:val="008B40BC"/>
    <w:rsid w:val="008B45AC"/>
    <w:rsid w:val="008B4676"/>
    <w:rsid w:val="008B4697"/>
    <w:rsid w:val="008B63C3"/>
    <w:rsid w:val="008B6780"/>
    <w:rsid w:val="008B6951"/>
    <w:rsid w:val="008B6DB9"/>
    <w:rsid w:val="008B723E"/>
    <w:rsid w:val="008B784C"/>
    <w:rsid w:val="008B7B6B"/>
    <w:rsid w:val="008B7F84"/>
    <w:rsid w:val="008C00B4"/>
    <w:rsid w:val="008C1248"/>
    <w:rsid w:val="008C149C"/>
    <w:rsid w:val="008C1DC3"/>
    <w:rsid w:val="008C21DB"/>
    <w:rsid w:val="008C29EF"/>
    <w:rsid w:val="008C2E9B"/>
    <w:rsid w:val="008C3204"/>
    <w:rsid w:val="008C37E2"/>
    <w:rsid w:val="008C3D00"/>
    <w:rsid w:val="008C401C"/>
    <w:rsid w:val="008C43BF"/>
    <w:rsid w:val="008C46BD"/>
    <w:rsid w:val="008C4CBA"/>
    <w:rsid w:val="008C4D78"/>
    <w:rsid w:val="008C518A"/>
    <w:rsid w:val="008C5436"/>
    <w:rsid w:val="008C6564"/>
    <w:rsid w:val="008C671F"/>
    <w:rsid w:val="008C6C98"/>
    <w:rsid w:val="008C7183"/>
    <w:rsid w:val="008C7EDF"/>
    <w:rsid w:val="008D0CD4"/>
    <w:rsid w:val="008D1811"/>
    <w:rsid w:val="008D29CA"/>
    <w:rsid w:val="008D29EF"/>
    <w:rsid w:val="008D2C34"/>
    <w:rsid w:val="008D2C3B"/>
    <w:rsid w:val="008D31BF"/>
    <w:rsid w:val="008D3603"/>
    <w:rsid w:val="008D3651"/>
    <w:rsid w:val="008D4DCF"/>
    <w:rsid w:val="008D5BAF"/>
    <w:rsid w:val="008D5E74"/>
    <w:rsid w:val="008D625B"/>
    <w:rsid w:val="008E034E"/>
    <w:rsid w:val="008E03B4"/>
    <w:rsid w:val="008E259F"/>
    <w:rsid w:val="008E2A96"/>
    <w:rsid w:val="008E3396"/>
    <w:rsid w:val="008E3410"/>
    <w:rsid w:val="008E4F83"/>
    <w:rsid w:val="008E5A4A"/>
    <w:rsid w:val="008E611B"/>
    <w:rsid w:val="008E6672"/>
    <w:rsid w:val="008E6886"/>
    <w:rsid w:val="008E69B0"/>
    <w:rsid w:val="008E6D5C"/>
    <w:rsid w:val="008E753B"/>
    <w:rsid w:val="008E7ADD"/>
    <w:rsid w:val="008F019B"/>
    <w:rsid w:val="008F068F"/>
    <w:rsid w:val="008F0C3B"/>
    <w:rsid w:val="008F15B5"/>
    <w:rsid w:val="008F1C98"/>
    <w:rsid w:val="008F1DFF"/>
    <w:rsid w:val="008F2353"/>
    <w:rsid w:val="008F2B4C"/>
    <w:rsid w:val="008F3366"/>
    <w:rsid w:val="008F34A3"/>
    <w:rsid w:val="008F39F4"/>
    <w:rsid w:val="008F5172"/>
    <w:rsid w:val="008F5332"/>
    <w:rsid w:val="008F5BB8"/>
    <w:rsid w:val="008F5BC9"/>
    <w:rsid w:val="008F6167"/>
    <w:rsid w:val="008F7592"/>
    <w:rsid w:val="008F77B4"/>
    <w:rsid w:val="008F7AEA"/>
    <w:rsid w:val="008F7D5E"/>
    <w:rsid w:val="008F7F89"/>
    <w:rsid w:val="0090032C"/>
    <w:rsid w:val="00901771"/>
    <w:rsid w:val="00901F42"/>
    <w:rsid w:val="0090237D"/>
    <w:rsid w:val="00902D7A"/>
    <w:rsid w:val="00903007"/>
    <w:rsid w:val="00903410"/>
    <w:rsid w:val="00903549"/>
    <w:rsid w:val="009039E8"/>
    <w:rsid w:val="00903A02"/>
    <w:rsid w:val="009062D2"/>
    <w:rsid w:val="00906F99"/>
    <w:rsid w:val="009071D8"/>
    <w:rsid w:val="00907576"/>
    <w:rsid w:val="0090767B"/>
    <w:rsid w:val="00910725"/>
    <w:rsid w:val="00910954"/>
    <w:rsid w:val="00911270"/>
    <w:rsid w:val="009115CC"/>
    <w:rsid w:val="0091270C"/>
    <w:rsid w:val="00912B23"/>
    <w:rsid w:val="0091329C"/>
    <w:rsid w:val="0091355F"/>
    <w:rsid w:val="009136EC"/>
    <w:rsid w:val="00913D35"/>
    <w:rsid w:val="00914269"/>
    <w:rsid w:val="00914E4B"/>
    <w:rsid w:val="00915537"/>
    <w:rsid w:val="009156A3"/>
    <w:rsid w:val="00916137"/>
    <w:rsid w:val="009163FA"/>
    <w:rsid w:val="00916A81"/>
    <w:rsid w:val="00916FB1"/>
    <w:rsid w:val="009171EB"/>
    <w:rsid w:val="00917C84"/>
    <w:rsid w:val="00920598"/>
    <w:rsid w:val="00920DB0"/>
    <w:rsid w:val="00920EFE"/>
    <w:rsid w:val="009217FA"/>
    <w:rsid w:val="00922C79"/>
    <w:rsid w:val="00922DC0"/>
    <w:rsid w:val="00922DE6"/>
    <w:rsid w:val="009235E9"/>
    <w:rsid w:val="00924551"/>
    <w:rsid w:val="009246A0"/>
    <w:rsid w:val="009248AB"/>
    <w:rsid w:val="00924DF7"/>
    <w:rsid w:val="00925815"/>
    <w:rsid w:val="00925C17"/>
    <w:rsid w:val="009268BC"/>
    <w:rsid w:val="00926E9D"/>
    <w:rsid w:val="00927D66"/>
    <w:rsid w:val="00930932"/>
    <w:rsid w:val="00930EAF"/>
    <w:rsid w:val="0093113A"/>
    <w:rsid w:val="009313D6"/>
    <w:rsid w:val="009313ED"/>
    <w:rsid w:val="00931A1E"/>
    <w:rsid w:val="00931A27"/>
    <w:rsid w:val="00931D49"/>
    <w:rsid w:val="00931D94"/>
    <w:rsid w:val="009327B9"/>
    <w:rsid w:val="00932C1D"/>
    <w:rsid w:val="00932D0C"/>
    <w:rsid w:val="00933D78"/>
    <w:rsid w:val="00934BEC"/>
    <w:rsid w:val="0093507C"/>
    <w:rsid w:val="00935985"/>
    <w:rsid w:val="00935CB2"/>
    <w:rsid w:val="00935DF3"/>
    <w:rsid w:val="0093635D"/>
    <w:rsid w:val="0093641F"/>
    <w:rsid w:val="009367A8"/>
    <w:rsid w:val="00936B76"/>
    <w:rsid w:val="00937014"/>
    <w:rsid w:val="00937875"/>
    <w:rsid w:val="00937A2A"/>
    <w:rsid w:val="00937ACE"/>
    <w:rsid w:val="009400E9"/>
    <w:rsid w:val="00940235"/>
    <w:rsid w:val="00940E1D"/>
    <w:rsid w:val="0094128B"/>
    <w:rsid w:val="00941780"/>
    <w:rsid w:val="009417C0"/>
    <w:rsid w:val="0094190F"/>
    <w:rsid w:val="00941F1D"/>
    <w:rsid w:val="0094216C"/>
    <w:rsid w:val="009428C7"/>
    <w:rsid w:val="009438D0"/>
    <w:rsid w:val="009439E1"/>
    <w:rsid w:val="00944C9C"/>
    <w:rsid w:val="00944F00"/>
    <w:rsid w:val="00945036"/>
    <w:rsid w:val="0094518F"/>
    <w:rsid w:val="009452D0"/>
    <w:rsid w:val="009456C1"/>
    <w:rsid w:val="0094579E"/>
    <w:rsid w:val="00945F7A"/>
    <w:rsid w:val="00946564"/>
    <w:rsid w:val="009467DC"/>
    <w:rsid w:val="00946840"/>
    <w:rsid w:val="0094698E"/>
    <w:rsid w:val="009469AC"/>
    <w:rsid w:val="00947423"/>
    <w:rsid w:val="009479C5"/>
    <w:rsid w:val="00947A2C"/>
    <w:rsid w:val="009504C0"/>
    <w:rsid w:val="009505A2"/>
    <w:rsid w:val="009510A8"/>
    <w:rsid w:val="009511DC"/>
    <w:rsid w:val="009513D8"/>
    <w:rsid w:val="00951589"/>
    <w:rsid w:val="009518FF"/>
    <w:rsid w:val="00951C79"/>
    <w:rsid w:val="00952A82"/>
    <w:rsid w:val="00952DB5"/>
    <w:rsid w:val="00952F1A"/>
    <w:rsid w:val="00952F1B"/>
    <w:rsid w:val="00953863"/>
    <w:rsid w:val="0095390C"/>
    <w:rsid w:val="009539EA"/>
    <w:rsid w:val="0095447A"/>
    <w:rsid w:val="00954EA7"/>
    <w:rsid w:val="00955111"/>
    <w:rsid w:val="009559E5"/>
    <w:rsid w:val="00956394"/>
    <w:rsid w:val="00956F62"/>
    <w:rsid w:val="0095745A"/>
    <w:rsid w:val="00957805"/>
    <w:rsid w:val="009616DE"/>
    <w:rsid w:val="009619F1"/>
    <w:rsid w:val="009623CB"/>
    <w:rsid w:val="00963AEA"/>
    <w:rsid w:val="00964963"/>
    <w:rsid w:val="00964BBE"/>
    <w:rsid w:val="00964E0C"/>
    <w:rsid w:val="00965B64"/>
    <w:rsid w:val="00966052"/>
    <w:rsid w:val="00966478"/>
    <w:rsid w:val="0096697A"/>
    <w:rsid w:val="00966B82"/>
    <w:rsid w:val="00967F30"/>
    <w:rsid w:val="0097026B"/>
    <w:rsid w:val="00970B95"/>
    <w:rsid w:val="00970C7A"/>
    <w:rsid w:val="00970D01"/>
    <w:rsid w:val="00970DA4"/>
    <w:rsid w:val="00970E7C"/>
    <w:rsid w:val="0097157D"/>
    <w:rsid w:val="009715F6"/>
    <w:rsid w:val="009716A6"/>
    <w:rsid w:val="00971A17"/>
    <w:rsid w:val="00971F92"/>
    <w:rsid w:val="00972CA1"/>
    <w:rsid w:val="00973A1D"/>
    <w:rsid w:val="00973B8A"/>
    <w:rsid w:val="00973D78"/>
    <w:rsid w:val="00974ECB"/>
    <w:rsid w:val="00974FDF"/>
    <w:rsid w:val="009750CD"/>
    <w:rsid w:val="0097539B"/>
    <w:rsid w:val="0097567D"/>
    <w:rsid w:val="009757D6"/>
    <w:rsid w:val="00975E64"/>
    <w:rsid w:val="0097650F"/>
    <w:rsid w:val="00976FCC"/>
    <w:rsid w:val="0097706E"/>
    <w:rsid w:val="009776A8"/>
    <w:rsid w:val="00977B3B"/>
    <w:rsid w:val="00980C09"/>
    <w:rsid w:val="00981733"/>
    <w:rsid w:val="00982514"/>
    <w:rsid w:val="00984589"/>
    <w:rsid w:val="009846B7"/>
    <w:rsid w:val="00984CE4"/>
    <w:rsid w:val="009865A7"/>
    <w:rsid w:val="00986984"/>
    <w:rsid w:val="00987424"/>
    <w:rsid w:val="00987563"/>
    <w:rsid w:val="00987C37"/>
    <w:rsid w:val="00987C91"/>
    <w:rsid w:val="00987D69"/>
    <w:rsid w:val="00990625"/>
    <w:rsid w:val="00990AE6"/>
    <w:rsid w:val="009910E3"/>
    <w:rsid w:val="00991114"/>
    <w:rsid w:val="0099158D"/>
    <w:rsid w:val="00991C6A"/>
    <w:rsid w:val="0099230B"/>
    <w:rsid w:val="00992803"/>
    <w:rsid w:val="00992E61"/>
    <w:rsid w:val="0099311C"/>
    <w:rsid w:val="00993680"/>
    <w:rsid w:val="009939CE"/>
    <w:rsid w:val="009939EE"/>
    <w:rsid w:val="00994021"/>
    <w:rsid w:val="00994058"/>
    <w:rsid w:val="00994512"/>
    <w:rsid w:val="0099504C"/>
    <w:rsid w:val="00995385"/>
    <w:rsid w:val="009953EE"/>
    <w:rsid w:val="00996225"/>
    <w:rsid w:val="009966E0"/>
    <w:rsid w:val="00996AA5"/>
    <w:rsid w:val="00996C11"/>
    <w:rsid w:val="009973AF"/>
    <w:rsid w:val="0099760B"/>
    <w:rsid w:val="00997D89"/>
    <w:rsid w:val="009A0160"/>
    <w:rsid w:val="009A104A"/>
    <w:rsid w:val="009A113F"/>
    <w:rsid w:val="009A13BE"/>
    <w:rsid w:val="009A16E6"/>
    <w:rsid w:val="009A1D02"/>
    <w:rsid w:val="009A23A0"/>
    <w:rsid w:val="009A2762"/>
    <w:rsid w:val="009A277E"/>
    <w:rsid w:val="009A2BED"/>
    <w:rsid w:val="009A37A3"/>
    <w:rsid w:val="009A38A1"/>
    <w:rsid w:val="009A38C3"/>
    <w:rsid w:val="009A4001"/>
    <w:rsid w:val="009A43A8"/>
    <w:rsid w:val="009A4698"/>
    <w:rsid w:val="009A517C"/>
    <w:rsid w:val="009A53EC"/>
    <w:rsid w:val="009A566A"/>
    <w:rsid w:val="009A6004"/>
    <w:rsid w:val="009A6596"/>
    <w:rsid w:val="009A7171"/>
    <w:rsid w:val="009A7FC2"/>
    <w:rsid w:val="009B0C57"/>
    <w:rsid w:val="009B246F"/>
    <w:rsid w:val="009B2872"/>
    <w:rsid w:val="009B2D84"/>
    <w:rsid w:val="009B2DBB"/>
    <w:rsid w:val="009B2FE8"/>
    <w:rsid w:val="009B34BD"/>
    <w:rsid w:val="009B3CF4"/>
    <w:rsid w:val="009B3F92"/>
    <w:rsid w:val="009B48DE"/>
    <w:rsid w:val="009B4E99"/>
    <w:rsid w:val="009B4F48"/>
    <w:rsid w:val="009B5D71"/>
    <w:rsid w:val="009B5EAD"/>
    <w:rsid w:val="009B6D0C"/>
    <w:rsid w:val="009B6EB4"/>
    <w:rsid w:val="009B74B7"/>
    <w:rsid w:val="009B7F56"/>
    <w:rsid w:val="009C070F"/>
    <w:rsid w:val="009C07CE"/>
    <w:rsid w:val="009C08EE"/>
    <w:rsid w:val="009C0BA4"/>
    <w:rsid w:val="009C0DFB"/>
    <w:rsid w:val="009C0E0A"/>
    <w:rsid w:val="009C1221"/>
    <w:rsid w:val="009C1607"/>
    <w:rsid w:val="009C1F1F"/>
    <w:rsid w:val="009C2229"/>
    <w:rsid w:val="009C2399"/>
    <w:rsid w:val="009C24D0"/>
    <w:rsid w:val="009C2DE5"/>
    <w:rsid w:val="009C30A6"/>
    <w:rsid w:val="009C3464"/>
    <w:rsid w:val="009C4418"/>
    <w:rsid w:val="009C4495"/>
    <w:rsid w:val="009C4DF6"/>
    <w:rsid w:val="009C4E60"/>
    <w:rsid w:val="009C5445"/>
    <w:rsid w:val="009C58E2"/>
    <w:rsid w:val="009C64DB"/>
    <w:rsid w:val="009C65AF"/>
    <w:rsid w:val="009C6E03"/>
    <w:rsid w:val="009C7355"/>
    <w:rsid w:val="009C7585"/>
    <w:rsid w:val="009C7D97"/>
    <w:rsid w:val="009D07F8"/>
    <w:rsid w:val="009D0997"/>
    <w:rsid w:val="009D09F4"/>
    <w:rsid w:val="009D0F62"/>
    <w:rsid w:val="009D15D8"/>
    <w:rsid w:val="009D1902"/>
    <w:rsid w:val="009D1A61"/>
    <w:rsid w:val="009D1E97"/>
    <w:rsid w:val="009D235A"/>
    <w:rsid w:val="009D28E5"/>
    <w:rsid w:val="009D2E94"/>
    <w:rsid w:val="009D3400"/>
    <w:rsid w:val="009D358E"/>
    <w:rsid w:val="009D397A"/>
    <w:rsid w:val="009D3F08"/>
    <w:rsid w:val="009D4553"/>
    <w:rsid w:val="009D53A9"/>
    <w:rsid w:val="009D5C40"/>
    <w:rsid w:val="009D5C5E"/>
    <w:rsid w:val="009D5D1E"/>
    <w:rsid w:val="009D6513"/>
    <w:rsid w:val="009D6F18"/>
    <w:rsid w:val="009D6F41"/>
    <w:rsid w:val="009D7624"/>
    <w:rsid w:val="009D7DB2"/>
    <w:rsid w:val="009E17D0"/>
    <w:rsid w:val="009E2CA6"/>
    <w:rsid w:val="009E2D91"/>
    <w:rsid w:val="009E347E"/>
    <w:rsid w:val="009E34FB"/>
    <w:rsid w:val="009E4526"/>
    <w:rsid w:val="009E4E15"/>
    <w:rsid w:val="009E536F"/>
    <w:rsid w:val="009E55E0"/>
    <w:rsid w:val="009E5605"/>
    <w:rsid w:val="009E5ED2"/>
    <w:rsid w:val="009E5FD8"/>
    <w:rsid w:val="009E6D25"/>
    <w:rsid w:val="009E712A"/>
    <w:rsid w:val="009E7511"/>
    <w:rsid w:val="009E7646"/>
    <w:rsid w:val="009E7B6C"/>
    <w:rsid w:val="009F0FD8"/>
    <w:rsid w:val="009F15A7"/>
    <w:rsid w:val="009F1DED"/>
    <w:rsid w:val="009F28E0"/>
    <w:rsid w:val="009F32E6"/>
    <w:rsid w:val="009F3B38"/>
    <w:rsid w:val="009F5416"/>
    <w:rsid w:val="009F590C"/>
    <w:rsid w:val="009F5F61"/>
    <w:rsid w:val="009F65FA"/>
    <w:rsid w:val="009F6B29"/>
    <w:rsid w:val="009F6B68"/>
    <w:rsid w:val="009F7E35"/>
    <w:rsid w:val="00A0020A"/>
    <w:rsid w:val="00A00A27"/>
    <w:rsid w:val="00A00E03"/>
    <w:rsid w:val="00A01381"/>
    <w:rsid w:val="00A01645"/>
    <w:rsid w:val="00A017F3"/>
    <w:rsid w:val="00A01DC7"/>
    <w:rsid w:val="00A01FBC"/>
    <w:rsid w:val="00A0220D"/>
    <w:rsid w:val="00A0265C"/>
    <w:rsid w:val="00A02A85"/>
    <w:rsid w:val="00A03021"/>
    <w:rsid w:val="00A03722"/>
    <w:rsid w:val="00A05532"/>
    <w:rsid w:val="00A06222"/>
    <w:rsid w:val="00A06581"/>
    <w:rsid w:val="00A06E4D"/>
    <w:rsid w:val="00A06F5E"/>
    <w:rsid w:val="00A07622"/>
    <w:rsid w:val="00A07713"/>
    <w:rsid w:val="00A078BD"/>
    <w:rsid w:val="00A07E4E"/>
    <w:rsid w:val="00A106CD"/>
    <w:rsid w:val="00A107C7"/>
    <w:rsid w:val="00A10D8A"/>
    <w:rsid w:val="00A110FD"/>
    <w:rsid w:val="00A11938"/>
    <w:rsid w:val="00A11B8A"/>
    <w:rsid w:val="00A11C98"/>
    <w:rsid w:val="00A1213F"/>
    <w:rsid w:val="00A125BE"/>
    <w:rsid w:val="00A12C8D"/>
    <w:rsid w:val="00A13B64"/>
    <w:rsid w:val="00A13ED1"/>
    <w:rsid w:val="00A14337"/>
    <w:rsid w:val="00A14480"/>
    <w:rsid w:val="00A14D79"/>
    <w:rsid w:val="00A1504A"/>
    <w:rsid w:val="00A156E2"/>
    <w:rsid w:val="00A17B18"/>
    <w:rsid w:val="00A208CA"/>
    <w:rsid w:val="00A2144D"/>
    <w:rsid w:val="00A21465"/>
    <w:rsid w:val="00A2168A"/>
    <w:rsid w:val="00A217E9"/>
    <w:rsid w:val="00A21A75"/>
    <w:rsid w:val="00A23F44"/>
    <w:rsid w:val="00A24005"/>
    <w:rsid w:val="00A24EF3"/>
    <w:rsid w:val="00A251F0"/>
    <w:rsid w:val="00A26447"/>
    <w:rsid w:val="00A27A05"/>
    <w:rsid w:val="00A30911"/>
    <w:rsid w:val="00A316FB"/>
    <w:rsid w:val="00A31D71"/>
    <w:rsid w:val="00A31FD4"/>
    <w:rsid w:val="00A328EC"/>
    <w:rsid w:val="00A32A88"/>
    <w:rsid w:val="00A33877"/>
    <w:rsid w:val="00A338CF"/>
    <w:rsid w:val="00A33D0A"/>
    <w:rsid w:val="00A34643"/>
    <w:rsid w:val="00A34A0E"/>
    <w:rsid w:val="00A34F49"/>
    <w:rsid w:val="00A350F4"/>
    <w:rsid w:val="00A35534"/>
    <w:rsid w:val="00A35CDA"/>
    <w:rsid w:val="00A35F1B"/>
    <w:rsid w:val="00A36D45"/>
    <w:rsid w:val="00A379D3"/>
    <w:rsid w:val="00A40D75"/>
    <w:rsid w:val="00A412D1"/>
    <w:rsid w:val="00A41F34"/>
    <w:rsid w:val="00A42087"/>
    <w:rsid w:val="00A4279F"/>
    <w:rsid w:val="00A4304A"/>
    <w:rsid w:val="00A43266"/>
    <w:rsid w:val="00A439B9"/>
    <w:rsid w:val="00A43AD0"/>
    <w:rsid w:val="00A43E97"/>
    <w:rsid w:val="00A43EFF"/>
    <w:rsid w:val="00A4438E"/>
    <w:rsid w:val="00A4440E"/>
    <w:rsid w:val="00A44BA0"/>
    <w:rsid w:val="00A466A4"/>
    <w:rsid w:val="00A46CE4"/>
    <w:rsid w:val="00A478B1"/>
    <w:rsid w:val="00A47D0E"/>
    <w:rsid w:val="00A47F8A"/>
    <w:rsid w:val="00A5008B"/>
    <w:rsid w:val="00A506A5"/>
    <w:rsid w:val="00A50A4C"/>
    <w:rsid w:val="00A50B00"/>
    <w:rsid w:val="00A50C9C"/>
    <w:rsid w:val="00A50FFD"/>
    <w:rsid w:val="00A5103F"/>
    <w:rsid w:val="00A51121"/>
    <w:rsid w:val="00A51F21"/>
    <w:rsid w:val="00A5204B"/>
    <w:rsid w:val="00A5250C"/>
    <w:rsid w:val="00A54374"/>
    <w:rsid w:val="00A54710"/>
    <w:rsid w:val="00A54A7C"/>
    <w:rsid w:val="00A54D75"/>
    <w:rsid w:val="00A54E73"/>
    <w:rsid w:val="00A550B7"/>
    <w:rsid w:val="00A55236"/>
    <w:rsid w:val="00A5624A"/>
    <w:rsid w:val="00A57563"/>
    <w:rsid w:val="00A57590"/>
    <w:rsid w:val="00A578B2"/>
    <w:rsid w:val="00A602F9"/>
    <w:rsid w:val="00A610E2"/>
    <w:rsid w:val="00A612F1"/>
    <w:rsid w:val="00A62052"/>
    <w:rsid w:val="00A62706"/>
    <w:rsid w:val="00A62818"/>
    <w:rsid w:val="00A635D3"/>
    <w:rsid w:val="00A63CEE"/>
    <w:rsid w:val="00A64111"/>
    <w:rsid w:val="00A64457"/>
    <w:rsid w:val="00A64474"/>
    <w:rsid w:val="00A649CD"/>
    <w:rsid w:val="00A64B6C"/>
    <w:rsid w:val="00A66980"/>
    <w:rsid w:val="00A67F37"/>
    <w:rsid w:val="00A67FA7"/>
    <w:rsid w:val="00A703C5"/>
    <w:rsid w:val="00A7060D"/>
    <w:rsid w:val="00A70D30"/>
    <w:rsid w:val="00A712DF"/>
    <w:rsid w:val="00A71885"/>
    <w:rsid w:val="00A71E01"/>
    <w:rsid w:val="00A723F0"/>
    <w:rsid w:val="00A725CA"/>
    <w:rsid w:val="00A72ACF"/>
    <w:rsid w:val="00A72BD3"/>
    <w:rsid w:val="00A73C2D"/>
    <w:rsid w:val="00A74F6B"/>
    <w:rsid w:val="00A75664"/>
    <w:rsid w:val="00A75993"/>
    <w:rsid w:val="00A76525"/>
    <w:rsid w:val="00A7737C"/>
    <w:rsid w:val="00A80501"/>
    <w:rsid w:val="00A81504"/>
    <w:rsid w:val="00A81D43"/>
    <w:rsid w:val="00A81DD4"/>
    <w:rsid w:val="00A81E77"/>
    <w:rsid w:val="00A82823"/>
    <w:rsid w:val="00A82D10"/>
    <w:rsid w:val="00A83978"/>
    <w:rsid w:val="00A83DBE"/>
    <w:rsid w:val="00A83F02"/>
    <w:rsid w:val="00A84755"/>
    <w:rsid w:val="00A848B2"/>
    <w:rsid w:val="00A86121"/>
    <w:rsid w:val="00A868CF"/>
    <w:rsid w:val="00A875D8"/>
    <w:rsid w:val="00A877ED"/>
    <w:rsid w:val="00A87AA9"/>
    <w:rsid w:val="00A90769"/>
    <w:rsid w:val="00A90790"/>
    <w:rsid w:val="00A90ABF"/>
    <w:rsid w:val="00A90F92"/>
    <w:rsid w:val="00A91A4B"/>
    <w:rsid w:val="00A9207E"/>
    <w:rsid w:val="00A92A0A"/>
    <w:rsid w:val="00A92B38"/>
    <w:rsid w:val="00A92E1D"/>
    <w:rsid w:val="00A931CD"/>
    <w:rsid w:val="00A9378E"/>
    <w:rsid w:val="00A93808"/>
    <w:rsid w:val="00A945D3"/>
    <w:rsid w:val="00A94BB7"/>
    <w:rsid w:val="00A94D0B"/>
    <w:rsid w:val="00A94DA8"/>
    <w:rsid w:val="00A95785"/>
    <w:rsid w:val="00A95972"/>
    <w:rsid w:val="00A95F49"/>
    <w:rsid w:val="00A96418"/>
    <w:rsid w:val="00A9654A"/>
    <w:rsid w:val="00A96BF6"/>
    <w:rsid w:val="00A96CF2"/>
    <w:rsid w:val="00A96E38"/>
    <w:rsid w:val="00A96EF1"/>
    <w:rsid w:val="00A96F56"/>
    <w:rsid w:val="00A9731E"/>
    <w:rsid w:val="00A9741A"/>
    <w:rsid w:val="00A97515"/>
    <w:rsid w:val="00A9786E"/>
    <w:rsid w:val="00AA0122"/>
    <w:rsid w:val="00AA09E6"/>
    <w:rsid w:val="00AA0CCF"/>
    <w:rsid w:val="00AA1B1D"/>
    <w:rsid w:val="00AA1B2E"/>
    <w:rsid w:val="00AA202C"/>
    <w:rsid w:val="00AA2355"/>
    <w:rsid w:val="00AA30B7"/>
    <w:rsid w:val="00AA33C9"/>
    <w:rsid w:val="00AA3832"/>
    <w:rsid w:val="00AA3E55"/>
    <w:rsid w:val="00AA451C"/>
    <w:rsid w:val="00AA4604"/>
    <w:rsid w:val="00AA57F1"/>
    <w:rsid w:val="00AA595A"/>
    <w:rsid w:val="00AA5AB8"/>
    <w:rsid w:val="00AA7237"/>
    <w:rsid w:val="00AB041E"/>
    <w:rsid w:val="00AB0BF1"/>
    <w:rsid w:val="00AB0E9F"/>
    <w:rsid w:val="00AB1FC2"/>
    <w:rsid w:val="00AB2011"/>
    <w:rsid w:val="00AB2464"/>
    <w:rsid w:val="00AB255E"/>
    <w:rsid w:val="00AB32F6"/>
    <w:rsid w:val="00AB3476"/>
    <w:rsid w:val="00AB35E4"/>
    <w:rsid w:val="00AB3DDB"/>
    <w:rsid w:val="00AB48BB"/>
    <w:rsid w:val="00AB4D89"/>
    <w:rsid w:val="00AB648F"/>
    <w:rsid w:val="00AB714A"/>
    <w:rsid w:val="00AB7411"/>
    <w:rsid w:val="00AB7A2D"/>
    <w:rsid w:val="00AC0273"/>
    <w:rsid w:val="00AC059E"/>
    <w:rsid w:val="00AC11FA"/>
    <w:rsid w:val="00AC16A4"/>
    <w:rsid w:val="00AC171E"/>
    <w:rsid w:val="00AC2A35"/>
    <w:rsid w:val="00AC2A99"/>
    <w:rsid w:val="00AC2D22"/>
    <w:rsid w:val="00AC2DBB"/>
    <w:rsid w:val="00AC2E4D"/>
    <w:rsid w:val="00AC317A"/>
    <w:rsid w:val="00AC38E7"/>
    <w:rsid w:val="00AC43B8"/>
    <w:rsid w:val="00AC45FD"/>
    <w:rsid w:val="00AC461B"/>
    <w:rsid w:val="00AC4BBE"/>
    <w:rsid w:val="00AC4F95"/>
    <w:rsid w:val="00AC54B3"/>
    <w:rsid w:val="00AC5551"/>
    <w:rsid w:val="00AC5CA7"/>
    <w:rsid w:val="00AC5E85"/>
    <w:rsid w:val="00AC60DF"/>
    <w:rsid w:val="00AC6780"/>
    <w:rsid w:val="00AC7894"/>
    <w:rsid w:val="00AC798A"/>
    <w:rsid w:val="00AC7F15"/>
    <w:rsid w:val="00AD0FBF"/>
    <w:rsid w:val="00AD17BF"/>
    <w:rsid w:val="00AD19B2"/>
    <w:rsid w:val="00AD1CFB"/>
    <w:rsid w:val="00AD2F2B"/>
    <w:rsid w:val="00AD39F9"/>
    <w:rsid w:val="00AD3ACE"/>
    <w:rsid w:val="00AD3B55"/>
    <w:rsid w:val="00AD496E"/>
    <w:rsid w:val="00AD5A07"/>
    <w:rsid w:val="00AD5AA5"/>
    <w:rsid w:val="00AD7246"/>
    <w:rsid w:val="00AD77CC"/>
    <w:rsid w:val="00AE00E6"/>
    <w:rsid w:val="00AE1ACE"/>
    <w:rsid w:val="00AE22B4"/>
    <w:rsid w:val="00AE23FC"/>
    <w:rsid w:val="00AE2526"/>
    <w:rsid w:val="00AE2753"/>
    <w:rsid w:val="00AE275F"/>
    <w:rsid w:val="00AE2F94"/>
    <w:rsid w:val="00AE3902"/>
    <w:rsid w:val="00AE4965"/>
    <w:rsid w:val="00AE49F0"/>
    <w:rsid w:val="00AE4E51"/>
    <w:rsid w:val="00AE520F"/>
    <w:rsid w:val="00AE5608"/>
    <w:rsid w:val="00AE5759"/>
    <w:rsid w:val="00AE6028"/>
    <w:rsid w:val="00AE619F"/>
    <w:rsid w:val="00AE688F"/>
    <w:rsid w:val="00AE6D5F"/>
    <w:rsid w:val="00AE72C2"/>
    <w:rsid w:val="00AE7621"/>
    <w:rsid w:val="00AF006F"/>
    <w:rsid w:val="00AF0554"/>
    <w:rsid w:val="00AF1260"/>
    <w:rsid w:val="00AF1318"/>
    <w:rsid w:val="00AF14A5"/>
    <w:rsid w:val="00AF1E3E"/>
    <w:rsid w:val="00AF1F16"/>
    <w:rsid w:val="00AF25CC"/>
    <w:rsid w:val="00AF3477"/>
    <w:rsid w:val="00AF4279"/>
    <w:rsid w:val="00AF44A5"/>
    <w:rsid w:val="00AF4669"/>
    <w:rsid w:val="00AF4D1B"/>
    <w:rsid w:val="00AF50E4"/>
    <w:rsid w:val="00AF5C72"/>
    <w:rsid w:val="00AF5D67"/>
    <w:rsid w:val="00AF628B"/>
    <w:rsid w:val="00AF6D0A"/>
    <w:rsid w:val="00AF6D0D"/>
    <w:rsid w:val="00AF6E03"/>
    <w:rsid w:val="00AF7139"/>
    <w:rsid w:val="00AF78D4"/>
    <w:rsid w:val="00AF7F59"/>
    <w:rsid w:val="00B0002D"/>
    <w:rsid w:val="00B00678"/>
    <w:rsid w:val="00B01529"/>
    <w:rsid w:val="00B0177A"/>
    <w:rsid w:val="00B0201B"/>
    <w:rsid w:val="00B02210"/>
    <w:rsid w:val="00B028F4"/>
    <w:rsid w:val="00B02BF7"/>
    <w:rsid w:val="00B03A6D"/>
    <w:rsid w:val="00B04BDF"/>
    <w:rsid w:val="00B0586F"/>
    <w:rsid w:val="00B05A00"/>
    <w:rsid w:val="00B068A2"/>
    <w:rsid w:val="00B06B61"/>
    <w:rsid w:val="00B07245"/>
    <w:rsid w:val="00B07781"/>
    <w:rsid w:val="00B079B6"/>
    <w:rsid w:val="00B07AC0"/>
    <w:rsid w:val="00B07BCA"/>
    <w:rsid w:val="00B07CE7"/>
    <w:rsid w:val="00B07D22"/>
    <w:rsid w:val="00B07D9B"/>
    <w:rsid w:val="00B1016A"/>
    <w:rsid w:val="00B10F50"/>
    <w:rsid w:val="00B1110C"/>
    <w:rsid w:val="00B11463"/>
    <w:rsid w:val="00B11950"/>
    <w:rsid w:val="00B125E8"/>
    <w:rsid w:val="00B1280D"/>
    <w:rsid w:val="00B12BEC"/>
    <w:rsid w:val="00B1315B"/>
    <w:rsid w:val="00B135BD"/>
    <w:rsid w:val="00B13897"/>
    <w:rsid w:val="00B13A66"/>
    <w:rsid w:val="00B13AD4"/>
    <w:rsid w:val="00B146FE"/>
    <w:rsid w:val="00B1488C"/>
    <w:rsid w:val="00B14D45"/>
    <w:rsid w:val="00B1504F"/>
    <w:rsid w:val="00B15B77"/>
    <w:rsid w:val="00B15D8C"/>
    <w:rsid w:val="00B16A41"/>
    <w:rsid w:val="00B1713D"/>
    <w:rsid w:val="00B17245"/>
    <w:rsid w:val="00B1729D"/>
    <w:rsid w:val="00B204D6"/>
    <w:rsid w:val="00B217A8"/>
    <w:rsid w:val="00B21BEC"/>
    <w:rsid w:val="00B21EA8"/>
    <w:rsid w:val="00B223D9"/>
    <w:rsid w:val="00B2256F"/>
    <w:rsid w:val="00B22E79"/>
    <w:rsid w:val="00B239B9"/>
    <w:rsid w:val="00B247D0"/>
    <w:rsid w:val="00B24D25"/>
    <w:rsid w:val="00B24EF7"/>
    <w:rsid w:val="00B250DA"/>
    <w:rsid w:val="00B25169"/>
    <w:rsid w:val="00B25FF4"/>
    <w:rsid w:val="00B26031"/>
    <w:rsid w:val="00B26794"/>
    <w:rsid w:val="00B26AE6"/>
    <w:rsid w:val="00B26C61"/>
    <w:rsid w:val="00B271F9"/>
    <w:rsid w:val="00B27265"/>
    <w:rsid w:val="00B27774"/>
    <w:rsid w:val="00B278B2"/>
    <w:rsid w:val="00B27A53"/>
    <w:rsid w:val="00B27BFC"/>
    <w:rsid w:val="00B305C0"/>
    <w:rsid w:val="00B30A89"/>
    <w:rsid w:val="00B30E0F"/>
    <w:rsid w:val="00B30E6E"/>
    <w:rsid w:val="00B313EF"/>
    <w:rsid w:val="00B31FE5"/>
    <w:rsid w:val="00B3215C"/>
    <w:rsid w:val="00B321BA"/>
    <w:rsid w:val="00B3279E"/>
    <w:rsid w:val="00B32D73"/>
    <w:rsid w:val="00B33153"/>
    <w:rsid w:val="00B34012"/>
    <w:rsid w:val="00B34057"/>
    <w:rsid w:val="00B346B3"/>
    <w:rsid w:val="00B35852"/>
    <w:rsid w:val="00B35C3B"/>
    <w:rsid w:val="00B364D8"/>
    <w:rsid w:val="00B365E1"/>
    <w:rsid w:val="00B36FF0"/>
    <w:rsid w:val="00B37D01"/>
    <w:rsid w:val="00B37DEF"/>
    <w:rsid w:val="00B37F75"/>
    <w:rsid w:val="00B40D99"/>
    <w:rsid w:val="00B41252"/>
    <w:rsid w:val="00B41FFA"/>
    <w:rsid w:val="00B427F2"/>
    <w:rsid w:val="00B42C50"/>
    <w:rsid w:val="00B42D1E"/>
    <w:rsid w:val="00B42E8F"/>
    <w:rsid w:val="00B43AF4"/>
    <w:rsid w:val="00B43E32"/>
    <w:rsid w:val="00B44669"/>
    <w:rsid w:val="00B44D26"/>
    <w:rsid w:val="00B45EE9"/>
    <w:rsid w:val="00B46532"/>
    <w:rsid w:val="00B4758C"/>
    <w:rsid w:val="00B5012E"/>
    <w:rsid w:val="00B505A2"/>
    <w:rsid w:val="00B509B8"/>
    <w:rsid w:val="00B50DB1"/>
    <w:rsid w:val="00B51474"/>
    <w:rsid w:val="00B51EBD"/>
    <w:rsid w:val="00B536C6"/>
    <w:rsid w:val="00B537B4"/>
    <w:rsid w:val="00B548AC"/>
    <w:rsid w:val="00B54C7C"/>
    <w:rsid w:val="00B55BB4"/>
    <w:rsid w:val="00B560F0"/>
    <w:rsid w:val="00B561A5"/>
    <w:rsid w:val="00B56A34"/>
    <w:rsid w:val="00B57175"/>
    <w:rsid w:val="00B576A8"/>
    <w:rsid w:val="00B57921"/>
    <w:rsid w:val="00B57D99"/>
    <w:rsid w:val="00B6131E"/>
    <w:rsid w:val="00B62149"/>
    <w:rsid w:val="00B62E89"/>
    <w:rsid w:val="00B63657"/>
    <w:rsid w:val="00B63796"/>
    <w:rsid w:val="00B63FB2"/>
    <w:rsid w:val="00B6474F"/>
    <w:rsid w:val="00B648DF"/>
    <w:rsid w:val="00B650E5"/>
    <w:rsid w:val="00B6530C"/>
    <w:rsid w:val="00B655E2"/>
    <w:rsid w:val="00B65657"/>
    <w:rsid w:val="00B65BAF"/>
    <w:rsid w:val="00B65DC0"/>
    <w:rsid w:val="00B66672"/>
    <w:rsid w:val="00B6678D"/>
    <w:rsid w:val="00B67045"/>
    <w:rsid w:val="00B67D48"/>
    <w:rsid w:val="00B70195"/>
    <w:rsid w:val="00B70953"/>
    <w:rsid w:val="00B71381"/>
    <w:rsid w:val="00B716F9"/>
    <w:rsid w:val="00B71B4D"/>
    <w:rsid w:val="00B71DCD"/>
    <w:rsid w:val="00B72308"/>
    <w:rsid w:val="00B73DDD"/>
    <w:rsid w:val="00B74295"/>
    <w:rsid w:val="00B742C3"/>
    <w:rsid w:val="00B74CD4"/>
    <w:rsid w:val="00B75216"/>
    <w:rsid w:val="00B75330"/>
    <w:rsid w:val="00B7569C"/>
    <w:rsid w:val="00B75CEF"/>
    <w:rsid w:val="00B76163"/>
    <w:rsid w:val="00B76D7F"/>
    <w:rsid w:val="00B77AF6"/>
    <w:rsid w:val="00B800C3"/>
    <w:rsid w:val="00B80396"/>
    <w:rsid w:val="00B816AE"/>
    <w:rsid w:val="00B81C9A"/>
    <w:rsid w:val="00B82560"/>
    <w:rsid w:val="00B830A8"/>
    <w:rsid w:val="00B8405C"/>
    <w:rsid w:val="00B84089"/>
    <w:rsid w:val="00B84524"/>
    <w:rsid w:val="00B84C25"/>
    <w:rsid w:val="00B85B1C"/>
    <w:rsid w:val="00B85BB4"/>
    <w:rsid w:val="00B8619E"/>
    <w:rsid w:val="00B879A2"/>
    <w:rsid w:val="00B87B91"/>
    <w:rsid w:val="00B908F4"/>
    <w:rsid w:val="00B91A06"/>
    <w:rsid w:val="00B9301A"/>
    <w:rsid w:val="00B9301F"/>
    <w:rsid w:val="00B9311D"/>
    <w:rsid w:val="00B9457E"/>
    <w:rsid w:val="00B94A1E"/>
    <w:rsid w:val="00B94A31"/>
    <w:rsid w:val="00B94A58"/>
    <w:rsid w:val="00B94C17"/>
    <w:rsid w:val="00B94EAA"/>
    <w:rsid w:val="00B9525D"/>
    <w:rsid w:val="00B95D45"/>
    <w:rsid w:val="00B963B6"/>
    <w:rsid w:val="00B967E7"/>
    <w:rsid w:val="00B97218"/>
    <w:rsid w:val="00B978B1"/>
    <w:rsid w:val="00B97D4E"/>
    <w:rsid w:val="00BA0407"/>
    <w:rsid w:val="00BA12B2"/>
    <w:rsid w:val="00BA171C"/>
    <w:rsid w:val="00BA1893"/>
    <w:rsid w:val="00BA1FB7"/>
    <w:rsid w:val="00BA2312"/>
    <w:rsid w:val="00BA2394"/>
    <w:rsid w:val="00BA2559"/>
    <w:rsid w:val="00BA3ACD"/>
    <w:rsid w:val="00BA3F77"/>
    <w:rsid w:val="00BA4101"/>
    <w:rsid w:val="00BA4304"/>
    <w:rsid w:val="00BA46F5"/>
    <w:rsid w:val="00BA4CC2"/>
    <w:rsid w:val="00BA50A0"/>
    <w:rsid w:val="00BA5858"/>
    <w:rsid w:val="00BA6468"/>
    <w:rsid w:val="00BA77FB"/>
    <w:rsid w:val="00BB196E"/>
    <w:rsid w:val="00BB1D23"/>
    <w:rsid w:val="00BB1DBD"/>
    <w:rsid w:val="00BB27D6"/>
    <w:rsid w:val="00BB2A75"/>
    <w:rsid w:val="00BB314D"/>
    <w:rsid w:val="00BB33C6"/>
    <w:rsid w:val="00BB3A0B"/>
    <w:rsid w:val="00BB3CEF"/>
    <w:rsid w:val="00BB47A2"/>
    <w:rsid w:val="00BB4BBD"/>
    <w:rsid w:val="00BB530A"/>
    <w:rsid w:val="00BB53A4"/>
    <w:rsid w:val="00BB549E"/>
    <w:rsid w:val="00BB558A"/>
    <w:rsid w:val="00BB5E90"/>
    <w:rsid w:val="00BB6E6B"/>
    <w:rsid w:val="00BB71CB"/>
    <w:rsid w:val="00BB7616"/>
    <w:rsid w:val="00BC0397"/>
    <w:rsid w:val="00BC0CBC"/>
    <w:rsid w:val="00BC0E15"/>
    <w:rsid w:val="00BC1477"/>
    <w:rsid w:val="00BC14C4"/>
    <w:rsid w:val="00BC167A"/>
    <w:rsid w:val="00BC171F"/>
    <w:rsid w:val="00BC175F"/>
    <w:rsid w:val="00BC17BE"/>
    <w:rsid w:val="00BC277A"/>
    <w:rsid w:val="00BC3344"/>
    <w:rsid w:val="00BC4079"/>
    <w:rsid w:val="00BC4512"/>
    <w:rsid w:val="00BC47DE"/>
    <w:rsid w:val="00BC515D"/>
    <w:rsid w:val="00BC587D"/>
    <w:rsid w:val="00BC65EE"/>
    <w:rsid w:val="00BC6EF9"/>
    <w:rsid w:val="00BC6F87"/>
    <w:rsid w:val="00BC7FC9"/>
    <w:rsid w:val="00BD0513"/>
    <w:rsid w:val="00BD0BB3"/>
    <w:rsid w:val="00BD1525"/>
    <w:rsid w:val="00BD1A65"/>
    <w:rsid w:val="00BD1C8E"/>
    <w:rsid w:val="00BD23E0"/>
    <w:rsid w:val="00BD28A6"/>
    <w:rsid w:val="00BD2CB6"/>
    <w:rsid w:val="00BD3394"/>
    <w:rsid w:val="00BD3434"/>
    <w:rsid w:val="00BD37E1"/>
    <w:rsid w:val="00BD38CD"/>
    <w:rsid w:val="00BD3BA2"/>
    <w:rsid w:val="00BD4253"/>
    <w:rsid w:val="00BD4FD1"/>
    <w:rsid w:val="00BD5245"/>
    <w:rsid w:val="00BD524F"/>
    <w:rsid w:val="00BD574C"/>
    <w:rsid w:val="00BD5B71"/>
    <w:rsid w:val="00BD5DA9"/>
    <w:rsid w:val="00BD67E2"/>
    <w:rsid w:val="00BD6DE5"/>
    <w:rsid w:val="00BD7F2C"/>
    <w:rsid w:val="00BE063B"/>
    <w:rsid w:val="00BE0D02"/>
    <w:rsid w:val="00BE1B27"/>
    <w:rsid w:val="00BE1CDC"/>
    <w:rsid w:val="00BE1D4D"/>
    <w:rsid w:val="00BE2A84"/>
    <w:rsid w:val="00BE3808"/>
    <w:rsid w:val="00BE3EB8"/>
    <w:rsid w:val="00BE3F71"/>
    <w:rsid w:val="00BE507C"/>
    <w:rsid w:val="00BE50B8"/>
    <w:rsid w:val="00BE6279"/>
    <w:rsid w:val="00BE62DA"/>
    <w:rsid w:val="00BE6FA1"/>
    <w:rsid w:val="00BE7056"/>
    <w:rsid w:val="00BE7655"/>
    <w:rsid w:val="00BE7868"/>
    <w:rsid w:val="00BE7F63"/>
    <w:rsid w:val="00BF0697"/>
    <w:rsid w:val="00BF06D9"/>
    <w:rsid w:val="00BF17C9"/>
    <w:rsid w:val="00BF1C0C"/>
    <w:rsid w:val="00BF2108"/>
    <w:rsid w:val="00BF2194"/>
    <w:rsid w:val="00BF2393"/>
    <w:rsid w:val="00BF2BAA"/>
    <w:rsid w:val="00BF4093"/>
    <w:rsid w:val="00BF40C1"/>
    <w:rsid w:val="00BF4890"/>
    <w:rsid w:val="00BF491A"/>
    <w:rsid w:val="00BF4F8E"/>
    <w:rsid w:val="00BF5E29"/>
    <w:rsid w:val="00BF5F5C"/>
    <w:rsid w:val="00BF6D53"/>
    <w:rsid w:val="00BF7648"/>
    <w:rsid w:val="00BF76A1"/>
    <w:rsid w:val="00C0216D"/>
    <w:rsid w:val="00C0251A"/>
    <w:rsid w:val="00C034D1"/>
    <w:rsid w:val="00C03696"/>
    <w:rsid w:val="00C03765"/>
    <w:rsid w:val="00C03815"/>
    <w:rsid w:val="00C0399E"/>
    <w:rsid w:val="00C03C36"/>
    <w:rsid w:val="00C04DD1"/>
    <w:rsid w:val="00C04F8D"/>
    <w:rsid w:val="00C05081"/>
    <w:rsid w:val="00C0595C"/>
    <w:rsid w:val="00C05AFE"/>
    <w:rsid w:val="00C0609D"/>
    <w:rsid w:val="00C06922"/>
    <w:rsid w:val="00C06D44"/>
    <w:rsid w:val="00C0715B"/>
    <w:rsid w:val="00C07AD2"/>
    <w:rsid w:val="00C1004A"/>
    <w:rsid w:val="00C10912"/>
    <w:rsid w:val="00C11040"/>
    <w:rsid w:val="00C11087"/>
    <w:rsid w:val="00C1136C"/>
    <w:rsid w:val="00C114C3"/>
    <w:rsid w:val="00C1165A"/>
    <w:rsid w:val="00C11AFD"/>
    <w:rsid w:val="00C11B74"/>
    <w:rsid w:val="00C125A2"/>
    <w:rsid w:val="00C12D84"/>
    <w:rsid w:val="00C13A03"/>
    <w:rsid w:val="00C13E2B"/>
    <w:rsid w:val="00C1412B"/>
    <w:rsid w:val="00C14660"/>
    <w:rsid w:val="00C14C28"/>
    <w:rsid w:val="00C15033"/>
    <w:rsid w:val="00C167FD"/>
    <w:rsid w:val="00C16AAD"/>
    <w:rsid w:val="00C16B53"/>
    <w:rsid w:val="00C17134"/>
    <w:rsid w:val="00C17DCC"/>
    <w:rsid w:val="00C17E92"/>
    <w:rsid w:val="00C2009B"/>
    <w:rsid w:val="00C20153"/>
    <w:rsid w:val="00C205E1"/>
    <w:rsid w:val="00C20B54"/>
    <w:rsid w:val="00C20D71"/>
    <w:rsid w:val="00C20DB2"/>
    <w:rsid w:val="00C210D0"/>
    <w:rsid w:val="00C2153C"/>
    <w:rsid w:val="00C22595"/>
    <w:rsid w:val="00C241E6"/>
    <w:rsid w:val="00C25498"/>
    <w:rsid w:val="00C25505"/>
    <w:rsid w:val="00C258E3"/>
    <w:rsid w:val="00C2751B"/>
    <w:rsid w:val="00C3023E"/>
    <w:rsid w:val="00C30253"/>
    <w:rsid w:val="00C30940"/>
    <w:rsid w:val="00C30ACA"/>
    <w:rsid w:val="00C30F2F"/>
    <w:rsid w:val="00C319F6"/>
    <w:rsid w:val="00C31D70"/>
    <w:rsid w:val="00C32BE6"/>
    <w:rsid w:val="00C32F17"/>
    <w:rsid w:val="00C33067"/>
    <w:rsid w:val="00C33398"/>
    <w:rsid w:val="00C33B05"/>
    <w:rsid w:val="00C33CC4"/>
    <w:rsid w:val="00C3436D"/>
    <w:rsid w:val="00C34648"/>
    <w:rsid w:val="00C34B23"/>
    <w:rsid w:val="00C363F5"/>
    <w:rsid w:val="00C36ACD"/>
    <w:rsid w:val="00C36C16"/>
    <w:rsid w:val="00C370A4"/>
    <w:rsid w:val="00C37715"/>
    <w:rsid w:val="00C3780B"/>
    <w:rsid w:val="00C402CD"/>
    <w:rsid w:val="00C4100A"/>
    <w:rsid w:val="00C43C8C"/>
    <w:rsid w:val="00C44598"/>
    <w:rsid w:val="00C449BD"/>
    <w:rsid w:val="00C44C0C"/>
    <w:rsid w:val="00C452F8"/>
    <w:rsid w:val="00C4552F"/>
    <w:rsid w:val="00C456E2"/>
    <w:rsid w:val="00C45E56"/>
    <w:rsid w:val="00C4629D"/>
    <w:rsid w:val="00C46B1E"/>
    <w:rsid w:val="00C47990"/>
    <w:rsid w:val="00C50851"/>
    <w:rsid w:val="00C5154F"/>
    <w:rsid w:val="00C51AD4"/>
    <w:rsid w:val="00C51B51"/>
    <w:rsid w:val="00C5215D"/>
    <w:rsid w:val="00C53EE3"/>
    <w:rsid w:val="00C542F6"/>
    <w:rsid w:val="00C549CA"/>
    <w:rsid w:val="00C55114"/>
    <w:rsid w:val="00C5550E"/>
    <w:rsid w:val="00C5646E"/>
    <w:rsid w:val="00C56CC1"/>
    <w:rsid w:val="00C57284"/>
    <w:rsid w:val="00C573D5"/>
    <w:rsid w:val="00C577A1"/>
    <w:rsid w:val="00C60D91"/>
    <w:rsid w:val="00C62566"/>
    <w:rsid w:val="00C6288A"/>
    <w:rsid w:val="00C6305F"/>
    <w:rsid w:val="00C632C4"/>
    <w:rsid w:val="00C63D6D"/>
    <w:rsid w:val="00C6412F"/>
    <w:rsid w:val="00C6415F"/>
    <w:rsid w:val="00C64AEE"/>
    <w:rsid w:val="00C65161"/>
    <w:rsid w:val="00C65960"/>
    <w:rsid w:val="00C67AF8"/>
    <w:rsid w:val="00C70D62"/>
    <w:rsid w:val="00C71517"/>
    <w:rsid w:val="00C72421"/>
    <w:rsid w:val="00C72881"/>
    <w:rsid w:val="00C72D10"/>
    <w:rsid w:val="00C72FCD"/>
    <w:rsid w:val="00C72FE4"/>
    <w:rsid w:val="00C735E7"/>
    <w:rsid w:val="00C7366E"/>
    <w:rsid w:val="00C7498F"/>
    <w:rsid w:val="00C74D01"/>
    <w:rsid w:val="00C74D43"/>
    <w:rsid w:val="00C74EF7"/>
    <w:rsid w:val="00C750BF"/>
    <w:rsid w:val="00C75974"/>
    <w:rsid w:val="00C75F47"/>
    <w:rsid w:val="00C765E5"/>
    <w:rsid w:val="00C76F43"/>
    <w:rsid w:val="00C775CC"/>
    <w:rsid w:val="00C779C3"/>
    <w:rsid w:val="00C77F1D"/>
    <w:rsid w:val="00C800A3"/>
    <w:rsid w:val="00C808C9"/>
    <w:rsid w:val="00C80A5E"/>
    <w:rsid w:val="00C80B58"/>
    <w:rsid w:val="00C80F57"/>
    <w:rsid w:val="00C828DF"/>
    <w:rsid w:val="00C82962"/>
    <w:rsid w:val="00C83077"/>
    <w:rsid w:val="00C839B4"/>
    <w:rsid w:val="00C83E98"/>
    <w:rsid w:val="00C83FD0"/>
    <w:rsid w:val="00C842E2"/>
    <w:rsid w:val="00C852B7"/>
    <w:rsid w:val="00C85BBD"/>
    <w:rsid w:val="00C85E03"/>
    <w:rsid w:val="00C86249"/>
    <w:rsid w:val="00C86A7F"/>
    <w:rsid w:val="00C86E97"/>
    <w:rsid w:val="00C87D1A"/>
    <w:rsid w:val="00C90099"/>
    <w:rsid w:val="00C9028D"/>
    <w:rsid w:val="00C90A1F"/>
    <w:rsid w:val="00C90D1A"/>
    <w:rsid w:val="00C91121"/>
    <w:rsid w:val="00C91208"/>
    <w:rsid w:val="00C9133F"/>
    <w:rsid w:val="00C91C2D"/>
    <w:rsid w:val="00C92BE9"/>
    <w:rsid w:val="00C930E9"/>
    <w:rsid w:val="00C950DA"/>
    <w:rsid w:val="00C95511"/>
    <w:rsid w:val="00C955D7"/>
    <w:rsid w:val="00C956FC"/>
    <w:rsid w:val="00C96002"/>
    <w:rsid w:val="00C96F4E"/>
    <w:rsid w:val="00C97BB5"/>
    <w:rsid w:val="00CA01A7"/>
    <w:rsid w:val="00CA077A"/>
    <w:rsid w:val="00CA0ACD"/>
    <w:rsid w:val="00CA1407"/>
    <w:rsid w:val="00CA19B3"/>
    <w:rsid w:val="00CA1DCE"/>
    <w:rsid w:val="00CA2788"/>
    <w:rsid w:val="00CA2FB7"/>
    <w:rsid w:val="00CA351B"/>
    <w:rsid w:val="00CA475F"/>
    <w:rsid w:val="00CA5583"/>
    <w:rsid w:val="00CA6692"/>
    <w:rsid w:val="00CA72C9"/>
    <w:rsid w:val="00CA751D"/>
    <w:rsid w:val="00CA79E5"/>
    <w:rsid w:val="00CB24F8"/>
    <w:rsid w:val="00CB271E"/>
    <w:rsid w:val="00CB2840"/>
    <w:rsid w:val="00CB32E5"/>
    <w:rsid w:val="00CB3A8F"/>
    <w:rsid w:val="00CB4570"/>
    <w:rsid w:val="00CB464D"/>
    <w:rsid w:val="00CB4C03"/>
    <w:rsid w:val="00CB5D90"/>
    <w:rsid w:val="00CB6E40"/>
    <w:rsid w:val="00CB6F13"/>
    <w:rsid w:val="00CB740A"/>
    <w:rsid w:val="00CC05F9"/>
    <w:rsid w:val="00CC0FC2"/>
    <w:rsid w:val="00CC25A9"/>
    <w:rsid w:val="00CC2D4C"/>
    <w:rsid w:val="00CC33B9"/>
    <w:rsid w:val="00CC33BA"/>
    <w:rsid w:val="00CC382A"/>
    <w:rsid w:val="00CC3CD5"/>
    <w:rsid w:val="00CC3F0B"/>
    <w:rsid w:val="00CC3F95"/>
    <w:rsid w:val="00CC4950"/>
    <w:rsid w:val="00CC5FF6"/>
    <w:rsid w:val="00CC61F2"/>
    <w:rsid w:val="00CC6608"/>
    <w:rsid w:val="00CC6A80"/>
    <w:rsid w:val="00CC732C"/>
    <w:rsid w:val="00CC74C3"/>
    <w:rsid w:val="00CC7574"/>
    <w:rsid w:val="00CC758E"/>
    <w:rsid w:val="00CC7614"/>
    <w:rsid w:val="00CC773A"/>
    <w:rsid w:val="00CC7915"/>
    <w:rsid w:val="00CC796A"/>
    <w:rsid w:val="00CD18B9"/>
    <w:rsid w:val="00CD1D5D"/>
    <w:rsid w:val="00CD2090"/>
    <w:rsid w:val="00CD2896"/>
    <w:rsid w:val="00CD2F41"/>
    <w:rsid w:val="00CD32BA"/>
    <w:rsid w:val="00CD3550"/>
    <w:rsid w:val="00CD411D"/>
    <w:rsid w:val="00CD4AF6"/>
    <w:rsid w:val="00CD4E4E"/>
    <w:rsid w:val="00CD5F31"/>
    <w:rsid w:val="00CD607A"/>
    <w:rsid w:val="00CD648D"/>
    <w:rsid w:val="00CD6718"/>
    <w:rsid w:val="00CD68B8"/>
    <w:rsid w:val="00CD69E5"/>
    <w:rsid w:val="00CD6C55"/>
    <w:rsid w:val="00CD6C7B"/>
    <w:rsid w:val="00CD7386"/>
    <w:rsid w:val="00CD74F1"/>
    <w:rsid w:val="00CD7D15"/>
    <w:rsid w:val="00CD7E8E"/>
    <w:rsid w:val="00CD7F2F"/>
    <w:rsid w:val="00CE0D00"/>
    <w:rsid w:val="00CE1799"/>
    <w:rsid w:val="00CE194F"/>
    <w:rsid w:val="00CE1DD6"/>
    <w:rsid w:val="00CE1E95"/>
    <w:rsid w:val="00CE299F"/>
    <w:rsid w:val="00CE304D"/>
    <w:rsid w:val="00CE33EB"/>
    <w:rsid w:val="00CE37A7"/>
    <w:rsid w:val="00CE425D"/>
    <w:rsid w:val="00CE462C"/>
    <w:rsid w:val="00CE47F1"/>
    <w:rsid w:val="00CE4890"/>
    <w:rsid w:val="00CE4B5D"/>
    <w:rsid w:val="00CE509E"/>
    <w:rsid w:val="00CE590A"/>
    <w:rsid w:val="00CE5E42"/>
    <w:rsid w:val="00CE7037"/>
    <w:rsid w:val="00CE728B"/>
    <w:rsid w:val="00CE7947"/>
    <w:rsid w:val="00CE794E"/>
    <w:rsid w:val="00CF034B"/>
    <w:rsid w:val="00CF0AA8"/>
    <w:rsid w:val="00CF0F22"/>
    <w:rsid w:val="00CF0FBE"/>
    <w:rsid w:val="00CF153A"/>
    <w:rsid w:val="00CF1B14"/>
    <w:rsid w:val="00CF21CC"/>
    <w:rsid w:val="00CF2447"/>
    <w:rsid w:val="00CF268A"/>
    <w:rsid w:val="00CF2AAF"/>
    <w:rsid w:val="00CF2FAB"/>
    <w:rsid w:val="00CF45C7"/>
    <w:rsid w:val="00CF47A6"/>
    <w:rsid w:val="00CF4821"/>
    <w:rsid w:val="00CF52A8"/>
    <w:rsid w:val="00CF5683"/>
    <w:rsid w:val="00CF56F9"/>
    <w:rsid w:val="00CF6EB0"/>
    <w:rsid w:val="00CF6F54"/>
    <w:rsid w:val="00CF6F86"/>
    <w:rsid w:val="00CF7067"/>
    <w:rsid w:val="00D00057"/>
    <w:rsid w:val="00D000BE"/>
    <w:rsid w:val="00D00E74"/>
    <w:rsid w:val="00D00FF0"/>
    <w:rsid w:val="00D00FFB"/>
    <w:rsid w:val="00D01EA5"/>
    <w:rsid w:val="00D02359"/>
    <w:rsid w:val="00D0235F"/>
    <w:rsid w:val="00D0248F"/>
    <w:rsid w:val="00D033F6"/>
    <w:rsid w:val="00D0366A"/>
    <w:rsid w:val="00D03ED2"/>
    <w:rsid w:val="00D0480F"/>
    <w:rsid w:val="00D04AA3"/>
    <w:rsid w:val="00D05378"/>
    <w:rsid w:val="00D055C0"/>
    <w:rsid w:val="00D055C1"/>
    <w:rsid w:val="00D0575C"/>
    <w:rsid w:val="00D063AB"/>
    <w:rsid w:val="00D0664A"/>
    <w:rsid w:val="00D06C95"/>
    <w:rsid w:val="00D06EAB"/>
    <w:rsid w:val="00D07193"/>
    <w:rsid w:val="00D07F41"/>
    <w:rsid w:val="00D107A7"/>
    <w:rsid w:val="00D10806"/>
    <w:rsid w:val="00D1121F"/>
    <w:rsid w:val="00D112CB"/>
    <w:rsid w:val="00D12452"/>
    <w:rsid w:val="00D1322D"/>
    <w:rsid w:val="00D13B0E"/>
    <w:rsid w:val="00D14151"/>
    <w:rsid w:val="00D1484F"/>
    <w:rsid w:val="00D149C4"/>
    <w:rsid w:val="00D14C20"/>
    <w:rsid w:val="00D14DF4"/>
    <w:rsid w:val="00D158B3"/>
    <w:rsid w:val="00D15FBE"/>
    <w:rsid w:val="00D1604D"/>
    <w:rsid w:val="00D16F1F"/>
    <w:rsid w:val="00D178B9"/>
    <w:rsid w:val="00D17D86"/>
    <w:rsid w:val="00D17F04"/>
    <w:rsid w:val="00D2020A"/>
    <w:rsid w:val="00D208FF"/>
    <w:rsid w:val="00D2099E"/>
    <w:rsid w:val="00D21B81"/>
    <w:rsid w:val="00D23136"/>
    <w:rsid w:val="00D23DEF"/>
    <w:rsid w:val="00D246A3"/>
    <w:rsid w:val="00D26D19"/>
    <w:rsid w:val="00D27A07"/>
    <w:rsid w:val="00D27A7F"/>
    <w:rsid w:val="00D3024F"/>
    <w:rsid w:val="00D306BD"/>
    <w:rsid w:val="00D30A60"/>
    <w:rsid w:val="00D31613"/>
    <w:rsid w:val="00D3215A"/>
    <w:rsid w:val="00D3242D"/>
    <w:rsid w:val="00D334DA"/>
    <w:rsid w:val="00D336C7"/>
    <w:rsid w:val="00D33D70"/>
    <w:rsid w:val="00D34440"/>
    <w:rsid w:val="00D349E1"/>
    <w:rsid w:val="00D3501F"/>
    <w:rsid w:val="00D359BC"/>
    <w:rsid w:val="00D359F9"/>
    <w:rsid w:val="00D3653B"/>
    <w:rsid w:val="00D37673"/>
    <w:rsid w:val="00D40319"/>
    <w:rsid w:val="00D41398"/>
    <w:rsid w:val="00D417FB"/>
    <w:rsid w:val="00D41B42"/>
    <w:rsid w:val="00D420B3"/>
    <w:rsid w:val="00D424F1"/>
    <w:rsid w:val="00D42C1C"/>
    <w:rsid w:val="00D42F44"/>
    <w:rsid w:val="00D43180"/>
    <w:rsid w:val="00D448EF"/>
    <w:rsid w:val="00D44B6A"/>
    <w:rsid w:val="00D44CEC"/>
    <w:rsid w:val="00D44DA8"/>
    <w:rsid w:val="00D45153"/>
    <w:rsid w:val="00D45344"/>
    <w:rsid w:val="00D46132"/>
    <w:rsid w:val="00D4794B"/>
    <w:rsid w:val="00D47980"/>
    <w:rsid w:val="00D502A6"/>
    <w:rsid w:val="00D50365"/>
    <w:rsid w:val="00D50704"/>
    <w:rsid w:val="00D514F3"/>
    <w:rsid w:val="00D525AB"/>
    <w:rsid w:val="00D5296E"/>
    <w:rsid w:val="00D54386"/>
    <w:rsid w:val="00D54592"/>
    <w:rsid w:val="00D549B0"/>
    <w:rsid w:val="00D55698"/>
    <w:rsid w:val="00D55814"/>
    <w:rsid w:val="00D56A66"/>
    <w:rsid w:val="00D56B53"/>
    <w:rsid w:val="00D5760A"/>
    <w:rsid w:val="00D57D3B"/>
    <w:rsid w:val="00D57F5B"/>
    <w:rsid w:val="00D609C3"/>
    <w:rsid w:val="00D61839"/>
    <w:rsid w:val="00D61AC2"/>
    <w:rsid w:val="00D62162"/>
    <w:rsid w:val="00D621BE"/>
    <w:rsid w:val="00D6245F"/>
    <w:rsid w:val="00D62847"/>
    <w:rsid w:val="00D628F7"/>
    <w:rsid w:val="00D62913"/>
    <w:rsid w:val="00D62940"/>
    <w:rsid w:val="00D6378E"/>
    <w:rsid w:val="00D63B2C"/>
    <w:rsid w:val="00D63DEE"/>
    <w:rsid w:val="00D63E51"/>
    <w:rsid w:val="00D644AC"/>
    <w:rsid w:val="00D64714"/>
    <w:rsid w:val="00D64787"/>
    <w:rsid w:val="00D64A46"/>
    <w:rsid w:val="00D64EFB"/>
    <w:rsid w:val="00D664F2"/>
    <w:rsid w:val="00D6697D"/>
    <w:rsid w:val="00D67519"/>
    <w:rsid w:val="00D67616"/>
    <w:rsid w:val="00D708CF"/>
    <w:rsid w:val="00D71AF8"/>
    <w:rsid w:val="00D71C4B"/>
    <w:rsid w:val="00D72791"/>
    <w:rsid w:val="00D73078"/>
    <w:rsid w:val="00D745C6"/>
    <w:rsid w:val="00D757D5"/>
    <w:rsid w:val="00D76320"/>
    <w:rsid w:val="00D76CB9"/>
    <w:rsid w:val="00D7777D"/>
    <w:rsid w:val="00D80B34"/>
    <w:rsid w:val="00D81589"/>
    <w:rsid w:val="00D8340B"/>
    <w:rsid w:val="00D8348D"/>
    <w:rsid w:val="00D8395D"/>
    <w:rsid w:val="00D83E62"/>
    <w:rsid w:val="00D84084"/>
    <w:rsid w:val="00D841C7"/>
    <w:rsid w:val="00D84C7A"/>
    <w:rsid w:val="00D84DFE"/>
    <w:rsid w:val="00D84FBA"/>
    <w:rsid w:val="00D85168"/>
    <w:rsid w:val="00D85AE3"/>
    <w:rsid w:val="00D86002"/>
    <w:rsid w:val="00D86128"/>
    <w:rsid w:val="00D867EE"/>
    <w:rsid w:val="00D86868"/>
    <w:rsid w:val="00D87D05"/>
    <w:rsid w:val="00D90860"/>
    <w:rsid w:val="00D9121C"/>
    <w:rsid w:val="00D91384"/>
    <w:rsid w:val="00D916A0"/>
    <w:rsid w:val="00D9195F"/>
    <w:rsid w:val="00D91BA7"/>
    <w:rsid w:val="00D92176"/>
    <w:rsid w:val="00D92183"/>
    <w:rsid w:val="00D93397"/>
    <w:rsid w:val="00D938FC"/>
    <w:rsid w:val="00D9472D"/>
    <w:rsid w:val="00D94C11"/>
    <w:rsid w:val="00D953C7"/>
    <w:rsid w:val="00D954E6"/>
    <w:rsid w:val="00D9577D"/>
    <w:rsid w:val="00D9603B"/>
    <w:rsid w:val="00DA00A9"/>
    <w:rsid w:val="00DA00C3"/>
    <w:rsid w:val="00DA012E"/>
    <w:rsid w:val="00DA206D"/>
    <w:rsid w:val="00DA266C"/>
    <w:rsid w:val="00DA27A4"/>
    <w:rsid w:val="00DA2802"/>
    <w:rsid w:val="00DA29E3"/>
    <w:rsid w:val="00DA3D61"/>
    <w:rsid w:val="00DA4E1B"/>
    <w:rsid w:val="00DA5387"/>
    <w:rsid w:val="00DA6A65"/>
    <w:rsid w:val="00DA7700"/>
    <w:rsid w:val="00DA778E"/>
    <w:rsid w:val="00DA7FC7"/>
    <w:rsid w:val="00DB00F0"/>
    <w:rsid w:val="00DB062F"/>
    <w:rsid w:val="00DB0A71"/>
    <w:rsid w:val="00DB0ECC"/>
    <w:rsid w:val="00DB0ED1"/>
    <w:rsid w:val="00DB0EDF"/>
    <w:rsid w:val="00DB1DAA"/>
    <w:rsid w:val="00DB21B0"/>
    <w:rsid w:val="00DB2304"/>
    <w:rsid w:val="00DB261A"/>
    <w:rsid w:val="00DB2B78"/>
    <w:rsid w:val="00DB39EE"/>
    <w:rsid w:val="00DB415F"/>
    <w:rsid w:val="00DB4235"/>
    <w:rsid w:val="00DB5170"/>
    <w:rsid w:val="00DB5235"/>
    <w:rsid w:val="00DB53CD"/>
    <w:rsid w:val="00DB54F2"/>
    <w:rsid w:val="00DB5533"/>
    <w:rsid w:val="00DB5EEE"/>
    <w:rsid w:val="00DB64A7"/>
    <w:rsid w:val="00DB6BEA"/>
    <w:rsid w:val="00DB6FC1"/>
    <w:rsid w:val="00DC0162"/>
    <w:rsid w:val="00DC03EC"/>
    <w:rsid w:val="00DC04FA"/>
    <w:rsid w:val="00DC0561"/>
    <w:rsid w:val="00DC064E"/>
    <w:rsid w:val="00DC0667"/>
    <w:rsid w:val="00DC0F4D"/>
    <w:rsid w:val="00DC1CB3"/>
    <w:rsid w:val="00DC1E0B"/>
    <w:rsid w:val="00DC210E"/>
    <w:rsid w:val="00DC23FB"/>
    <w:rsid w:val="00DC245F"/>
    <w:rsid w:val="00DC27FA"/>
    <w:rsid w:val="00DC29FE"/>
    <w:rsid w:val="00DC2D13"/>
    <w:rsid w:val="00DC3932"/>
    <w:rsid w:val="00DC3A8B"/>
    <w:rsid w:val="00DC3D0F"/>
    <w:rsid w:val="00DC4975"/>
    <w:rsid w:val="00DC4B5A"/>
    <w:rsid w:val="00DC4D14"/>
    <w:rsid w:val="00DC4F33"/>
    <w:rsid w:val="00DC5539"/>
    <w:rsid w:val="00DC56B1"/>
    <w:rsid w:val="00DC6B6F"/>
    <w:rsid w:val="00DC6E6D"/>
    <w:rsid w:val="00DC7F39"/>
    <w:rsid w:val="00DD0A8B"/>
    <w:rsid w:val="00DD1575"/>
    <w:rsid w:val="00DD1866"/>
    <w:rsid w:val="00DD2BD3"/>
    <w:rsid w:val="00DD34CF"/>
    <w:rsid w:val="00DD417A"/>
    <w:rsid w:val="00DD4DE9"/>
    <w:rsid w:val="00DD5560"/>
    <w:rsid w:val="00DD58CC"/>
    <w:rsid w:val="00DD6381"/>
    <w:rsid w:val="00DD6567"/>
    <w:rsid w:val="00DD65CF"/>
    <w:rsid w:val="00DD65E4"/>
    <w:rsid w:val="00DD69DB"/>
    <w:rsid w:val="00DD727A"/>
    <w:rsid w:val="00DD7A20"/>
    <w:rsid w:val="00DD7E88"/>
    <w:rsid w:val="00DE07F8"/>
    <w:rsid w:val="00DE0CA7"/>
    <w:rsid w:val="00DE0CFE"/>
    <w:rsid w:val="00DE14DA"/>
    <w:rsid w:val="00DE1F28"/>
    <w:rsid w:val="00DE253D"/>
    <w:rsid w:val="00DE289E"/>
    <w:rsid w:val="00DE3E6D"/>
    <w:rsid w:val="00DE40B2"/>
    <w:rsid w:val="00DE43A9"/>
    <w:rsid w:val="00DE4ECC"/>
    <w:rsid w:val="00DE5A12"/>
    <w:rsid w:val="00DE5C10"/>
    <w:rsid w:val="00DE6577"/>
    <w:rsid w:val="00DE7049"/>
    <w:rsid w:val="00DE7673"/>
    <w:rsid w:val="00DF0155"/>
    <w:rsid w:val="00DF06D4"/>
    <w:rsid w:val="00DF0DF8"/>
    <w:rsid w:val="00DF1229"/>
    <w:rsid w:val="00DF16BC"/>
    <w:rsid w:val="00DF18F2"/>
    <w:rsid w:val="00DF1B8E"/>
    <w:rsid w:val="00DF2CB9"/>
    <w:rsid w:val="00DF2DE7"/>
    <w:rsid w:val="00DF3071"/>
    <w:rsid w:val="00DF447D"/>
    <w:rsid w:val="00DF49E0"/>
    <w:rsid w:val="00DF5849"/>
    <w:rsid w:val="00DF5ACA"/>
    <w:rsid w:val="00DF5BE3"/>
    <w:rsid w:val="00DF611F"/>
    <w:rsid w:val="00DF6144"/>
    <w:rsid w:val="00DF641D"/>
    <w:rsid w:val="00DF6A7C"/>
    <w:rsid w:val="00DF70F4"/>
    <w:rsid w:val="00DF777E"/>
    <w:rsid w:val="00E00AF8"/>
    <w:rsid w:val="00E00EB6"/>
    <w:rsid w:val="00E01048"/>
    <w:rsid w:val="00E01A04"/>
    <w:rsid w:val="00E01A7E"/>
    <w:rsid w:val="00E01E5D"/>
    <w:rsid w:val="00E02C7F"/>
    <w:rsid w:val="00E03022"/>
    <w:rsid w:val="00E030A1"/>
    <w:rsid w:val="00E03AAF"/>
    <w:rsid w:val="00E04027"/>
    <w:rsid w:val="00E04569"/>
    <w:rsid w:val="00E0472D"/>
    <w:rsid w:val="00E04EF5"/>
    <w:rsid w:val="00E0667F"/>
    <w:rsid w:val="00E079CD"/>
    <w:rsid w:val="00E07C42"/>
    <w:rsid w:val="00E10652"/>
    <w:rsid w:val="00E11962"/>
    <w:rsid w:val="00E11CFC"/>
    <w:rsid w:val="00E11EF3"/>
    <w:rsid w:val="00E11FE1"/>
    <w:rsid w:val="00E12329"/>
    <w:rsid w:val="00E12A0E"/>
    <w:rsid w:val="00E13003"/>
    <w:rsid w:val="00E13316"/>
    <w:rsid w:val="00E140CC"/>
    <w:rsid w:val="00E14940"/>
    <w:rsid w:val="00E14AE7"/>
    <w:rsid w:val="00E15ED0"/>
    <w:rsid w:val="00E15F56"/>
    <w:rsid w:val="00E16B5B"/>
    <w:rsid w:val="00E16CAE"/>
    <w:rsid w:val="00E1752A"/>
    <w:rsid w:val="00E17534"/>
    <w:rsid w:val="00E2206E"/>
    <w:rsid w:val="00E223FF"/>
    <w:rsid w:val="00E2261C"/>
    <w:rsid w:val="00E22D5D"/>
    <w:rsid w:val="00E2344A"/>
    <w:rsid w:val="00E23625"/>
    <w:rsid w:val="00E23927"/>
    <w:rsid w:val="00E23EF9"/>
    <w:rsid w:val="00E242EB"/>
    <w:rsid w:val="00E24FA5"/>
    <w:rsid w:val="00E250FD"/>
    <w:rsid w:val="00E25575"/>
    <w:rsid w:val="00E25E69"/>
    <w:rsid w:val="00E261D4"/>
    <w:rsid w:val="00E26714"/>
    <w:rsid w:val="00E2799C"/>
    <w:rsid w:val="00E30231"/>
    <w:rsid w:val="00E306CF"/>
    <w:rsid w:val="00E31C53"/>
    <w:rsid w:val="00E31C86"/>
    <w:rsid w:val="00E31DC9"/>
    <w:rsid w:val="00E32079"/>
    <w:rsid w:val="00E32F35"/>
    <w:rsid w:val="00E334EB"/>
    <w:rsid w:val="00E34C76"/>
    <w:rsid w:val="00E35003"/>
    <w:rsid w:val="00E35791"/>
    <w:rsid w:val="00E3591C"/>
    <w:rsid w:val="00E35955"/>
    <w:rsid w:val="00E35C04"/>
    <w:rsid w:val="00E35E92"/>
    <w:rsid w:val="00E36EE0"/>
    <w:rsid w:val="00E373C8"/>
    <w:rsid w:val="00E375C5"/>
    <w:rsid w:val="00E376FE"/>
    <w:rsid w:val="00E379DD"/>
    <w:rsid w:val="00E401BF"/>
    <w:rsid w:val="00E4038C"/>
    <w:rsid w:val="00E404E9"/>
    <w:rsid w:val="00E40772"/>
    <w:rsid w:val="00E40953"/>
    <w:rsid w:val="00E415E3"/>
    <w:rsid w:val="00E41F0A"/>
    <w:rsid w:val="00E426C2"/>
    <w:rsid w:val="00E42A22"/>
    <w:rsid w:val="00E42D57"/>
    <w:rsid w:val="00E44114"/>
    <w:rsid w:val="00E44521"/>
    <w:rsid w:val="00E44A37"/>
    <w:rsid w:val="00E45F4E"/>
    <w:rsid w:val="00E45F70"/>
    <w:rsid w:val="00E462F1"/>
    <w:rsid w:val="00E46561"/>
    <w:rsid w:val="00E4691C"/>
    <w:rsid w:val="00E478F2"/>
    <w:rsid w:val="00E47B0D"/>
    <w:rsid w:val="00E47E82"/>
    <w:rsid w:val="00E50EAF"/>
    <w:rsid w:val="00E5195C"/>
    <w:rsid w:val="00E51A3D"/>
    <w:rsid w:val="00E51FB4"/>
    <w:rsid w:val="00E52409"/>
    <w:rsid w:val="00E52416"/>
    <w:rsid w:val="00E52687"/>
    <w:rsid w:val="00E526E4"/>
    <w:rsid w:val="00E53396"/>
    <w:rsid w:val="00E535EA"/>
    <w:rsid w:val="00E5426B"/>
    <w:rsid w:val="00E54421"/>
    <w:rsid w:val="00E54B50"/>
    <w:rsid w:val="00E55396"/>
    <w:rsid w:val="00E55A5C"/>
    <w:rsid w:val="00E5638D"/>
    <w:rsid w:val="00E566C9"/>
    <w:rsid w:val="00E5670C"/>
    <w:rsid w:val="00E57204"/>
    <w:rsid w:val="00E57419"/>
    <w:rsid w:val="00E57475"/>
    <w:rsid w:val="00E578C5"/>
    <w:rsid w:val="00E57AFA"/>
    <w:rsid w:val="00E6079F"/>
    <w:rsid w:val="00E608A2"/>
    <w:rsid w:val="00E609C0"/>
    <w:rsid w:val="00E60F7E"/>
    <w:rsid w:val="00E60FE7"/>
    <w:rsid w:val="00E61DE9"/>
    <w:rsid w:val="00E626E9"/>
    <w:rsid w:val="00E62809"/>
    <w:rsid w:val="00E62B90"/>
    <w:rsid w:val="00E62C66"/>
    <w:rsid w:val="00E63274"/>
    <w:rsid w:val="00E63740"/>
    <w:rsid w:val="00E63CF0"/>
    <w:rsid w:val="00E642AB"/>
    <w:rsid w:val="00E646BA"/>
    <w:rsid w:val="00E64B29"/>
    <w:rsid w:val="00E64C0B"/>
    <w:rsid w:val="00E64D0A"/>
    <w:rsid w:val="00E65A7D"/>
    <w:rsid w:val="00E65E9B"/>
    <w:rsid w:val="00E660A2"/>
    <w:rsid w:val="00E6680A"/>
    <w:rsid w:val="00E66DA6"/>
    <w:rsid w:val="00E6732F"/>
    <w:rsid w:val="00E67602"/>
    <w:rsid w:val="00E67BC1"/>
    <w:rsid w:val="00E67ED0"/>
    <w:rsid w:val="00E70F15"/>
    <w:rsid w:val="00E71089"/>
    <w:rsid w:val="00E717D4"/>
    <w:rsid w:val="00E718DA"/>
    <w:rsid w:val="00E71978"/>
    <w:rsid w:val="00E71CEC"/>
    <w:rsid w:val="00E72CE7"/>
    <w:rsid w:val="00E72DE9"/>
    <w:rsid w:val="00E73CBD"/>
    <w:rsid w:val="00E74712"/>
    <w:rsid w:val="00E748F1"/>
    <w:rsid w:val="00E74E76"/>
    <w:rsid w:val="00E75630"/>
    <w:rsid w:val="00E75688"/>
    <w:rsid w:val="00E759F3"/>
    <w:rsid w:val="00E75CD8"/>
    <w:rsid w:val="00E763F2"/>
    <w:rsid w:val="00E76A23"/>
    <w:rsid w:val="00E76C89"/>
    <w:rsid w:val="00E77E4D"/>
    <w:rsid w:val="00E80018"/>
    <w:rsid w:val="00E80941"/>
    <w:rsid w:val="00E80A44"/>
    <w:rsid w:val="00E815E6"/>
    <w:rsid w:val="00E817A2"/>
    <w:rsid w:val="00E821C7"/>
    <w:rsid w:val="00E831A0"/>
    <w:rsid w:val="00E8332C"/>
    <w:rsid w:val="00E84532"/>
    <w:rsid w:val="00E84AC0"/>
    <w:rsid w:val="00E84C54"/>
    <w:rsid w:val="00E8691C"/>
    <w:rsid w:val="00E86B09"/>
    <w:rsid w:val="00E87A64"/>
    <w:rsid w:val="00E908A3"/>
    <w:rsid w:val="00E911C4"/>
    <w:rsid w:val="00E91778"/>
    <w:rsid w:val="00E91E0B"/>
    <w:rsid w:val="00E91E53"/>
    <w:rsid w:val="00E922CB"/>
    <w:rsid w:val="00E92537"/>
    <w:rsid w:val="00E926B6"/>
    <w:rsid w:val="00E92867"/>
    <w:rsid w:val="00E937AF"/>
    <w:rsid w:val="00E9387C"/>
    <w:rsid w:val="00E93E8A"/>
    <w:rsid w:val="00E94B1F"/>
    <w:rsid w:val="00E94BAE"/>
    <w:rsid w:val="00E95133"/>
    <w:rsid w:val="00E95969"/>
    <w:rsid w:val="00E96FD6"/>
    <w:rsid w:val="00E97052"/>
    <w:rsid w:val="00E97402"/>
    <w:rsid w:val="00EA06BD"/>
    <w:rsid w:val="00EA077C"/>
    <w:rsid w:val="00EA0AC7"/>
    <w:rsid w:val="00EA14D5"/>
    <w:rsid w:val="00EA1613"/>
    <w:rsid w:val="00EA2835"/>
    <w:rsid w:val="00EA29CC"/>
    <w:rsid w:val="00EA31A8"/>
    <w:rsid w:val="00EA3527"/>
    <w:rsid w:val="00EA35F8"/>
    <w:rsid w:val="00EA5135"/>
    <w:rsid w:val="00EA54AB"/>
    <w:rsid w:val="00EA619D"/>
    <w:rsid w:val="00EA61E8"/>
    <w:rsid w:val="00EA68BF"/>
    <w:rsid w:val="00EA7CFB"/>
    <w:rsid w:val="00EA7D9F"/>
    <w:rsid w:val="00EB0B9E"/>
    <w:rsid w:val="00EB18BD"/>
    <w:rsid w:val="00EB1A43"/>
    <w:rsid w:val="00EB1BBD"/>
    <w:rsid w:val="00EB1C4B"/>
    <w:rsid w:val="00EB29E7"/>
    <w:rsid w:val="00EB350B"/>
    <w:rsid w:val="00EB3A94"/>
    <w:rsid w:val="00EB3CC0"/>
    <w:rsid w:val="00EB430E"/>
    <w:rsid w:val="00EB43EF"/>
    <w:rsid w:val="00EB467C"/>
    <w:rsid w:val="00EB48DB"/>
    <w:rsid w:val="00EB5282"/>
    <w:rsid w:val="00EB5810"/>
    <w:rsid w:val="00EB599E"/>
    <w:rsid w:val="00EB5BB9"/>
    <w:rsid w:val="00EB6167"/>
    <w:rsid w:val="00EB708E"/>
    <w:rsid w:val="00EB754E"/>
    <w:rsid w:val="00EB784D"/>
    <w:rsid w:val="00EB7C73"/>
    <w:rsid w:val="00EC01E9"/>
    <w:rsid w:val="00EC0345"/>
    <w:rsid w:val="00EC08AA"/>
    <w:rsid w:val="00EC10DC"/>
    <w:rsid w:val="00EC1B47"/>
    <w:rsid w:val="00EC1B56"/>
    <w:rsid w:val="00EC2485"/>
    <w:rsid w:val="00EC2533"/>
    <w:rsid w:val="00EC28D1"/>
    <w:rsid w:val="00EC2A77"/>
    <w:rsid w:val="00EC38CC"/>
    <w:rsid w:val="00EC43EF"/>
    <w:rsid w:val="00EC4AAC"/>
    <w:rsid w:val="00EC5542"/>
    <w:rsid w:val="00EC6005"/>
    <w:rsid w:val="00EC615A"/>
    <w:rsid w:val="00EC626C"/>
    <w:rsid w:val="00EC6352"/>
    <w:rsid w:val="00EC7B24"/>
    <w:rsid w:val="00EC7EA0"/>
    <w:rsid w:val="00EC7ED3"/>
    <w:rsid w:val="00ED0923"/>
    <w:rsid w:val="00ED0BF2"/>
    <w:rsid w:val="00ED0F79"/>
    <w:rsid w:val="00ED175D"/>
    <w:rsid w:val="00ED1DF7"/>
    <w:rsid w:val="00ED26E7"/>
    <w:rsid w:val="00ED27A8"/>
    <w:rsid w:val="00ED3189"/>
    <w:rsid w:val="00ED384A"/>
    <w:rsid w:val="00ED3957"/>
    <w:rsid w:val="00ED49B8"/>
    <w:rsid w:val="00ED789D"/>
    <w:rsid w:val="00ED78E6"/>
    <w:rsid w:val="00EE023C"/>
    <w:rsid w:val="00EE0CDD"/>
    <w:rsid w:val="00EE121E"/>
    <w:rsid w:val="00EE1242"/>
    <w:rsid w:val="00EE178E"/>
    <w:rsid w:val="00EE17EC"/>
    <w:rsid w:val="00EE2861"/>
    <w:rsid w:val="00EE4B31"/>
    <w:rsid w:val="00EE4C49"/>
    <w:rsid w:val="00EE5015"/>
    <w:rsid w:val="00EE515A"/>
    <w:rsid w:val="00EE5396"/>
    <w:rsid w:val="00EE5E46"/>
    <w:rsid w:val="00EE6A8C"/>
    <w:rsid w:val="00EE6C0F"/>
    <w:rsid w:val="00EE7064"/>
    <w:rsid w:val="00EE7F78"/>
    <w:rsid w:val="00EF0954"/>
    <w:rsid w:val="00EF13F3"/>
    <w:rsid w:val="00EF1464"/>
    <w:rsid w:val="00EF1493"/>
    <w:rsid w:val="00EF1609"/>
    <w:rsid w:val="00EF1715"/>
    <w:rsid w:val="00EF1CB6"/>
    <w:rsid w:val="00EF2533"/>
    <w:rsid w:val="00EF2628"/>
    <w:rsid w:val="00EF2977"/>
    <w:rsid w:val="00EF2A05"/>
    <w:rsid w:val="00EF3728"/>
    <w:rsid w:val="00EF3FC1"/>
    <w:rsid w:val="00EF4611"/>
    <w:rsid w:val="00EF4C5A"/>
    <w:rsid w:val="00EF5432"/>
    <w:rsid w:val="00EF5D56"/>
    <w:rsid w:val="00EF6D36"/>
    <w:rsid w:val="00EF6FD1"/>
    <w:rsid w:val="00EF7B35"/>
    <w:rsid w:val="00F000B8"/>
    <w:rsid w:val="00F011D5"/>
    <w:rsid w:val="00F027F2"/>
    <w:rsid w:val="00F02C22"/>
    <w:rsid w:val="00F02FF0"/>
    <w:rsid w:val="00F03B37"/>
    <w:rsid w:val="00F0414E"/>
    <w:rsid w:val="00F041A7"/>
    <w:rsid w:val="00F0454D"/>
    <w:rsid w:val="00F04FEA"/>
    <w:rsid w:val="00F055B1"/>
    <w:rsid w:val="00F0564E"/>
    <w:rsid w:val="00F05978"/>
    <w:rsid w:val="00F05AC3"/>
    <w:rsid w:val="00F0629C"/>
    <w:rsid w:val="00F06DD3"/>
    <w:rsid w:val="00F10795"/>
    <w:rsid w:val="00F107A8"/>
    <w:rsid w:val="00F10F44"/>
    <w:rsid w:val="00F11221"/>
    <w:rsid w:val="00F1148B"/>
    <w:rsid w:val="00F1165A"/>
    <w:rsid w:val="00F11B77"/>
    <w:rsid w:val="00F11C16"/>
    <w:rsid w:val="00F11E2B"/>
    <w:rsid w:val="00F1265A"/>
    <w:rsid w:val="00F12AFF"/>
    <w:rsid w:val="00F12D75"/>
    <w:rsid w:val="00F13680"/>
    <w:rsid w:val="00F1370A"/>
    <w:rsid w:val="00F147CD"/>
    <w:rsid w:val="00F147EE"/>
    <w:rsid w:val="00F1564B"/>
    <w:rsid w:val="00F15D13"/>
    <w:rsid w:val="00F15EFD"/>
    <w:rsid w:val="00F16863"/>
    <w:rsid w:val="00F1689B"/>
    <w:rsid w:val="00F16FF6"/>
    <w:rsid w:val="00F170C3"/>
    <w:rsid w:val="00F17162"/>
    <w:rsid w:val="00F17708"/>
    <w:rsid w:val="00F17D17"/>
    <w:rsid w:val="00F214DD"/>
    <w:rsid w:val="00F215CF"/>
    <w:rsid w:val="00F21AE6"/>
    <w:rsid w:val="00F23B4A"/>
    <w:rsid w:val="00F245CF"/>
    <w:rsid w:val="00F24E0A"/>
    <w:rsid w:val="00F24E31"/>
    <w:rsid w:val="00F24F09"/>
    <w:rsid w:val="00F25344"/>
    <w:rsid w:val="00F25A75"/>
    <w:rsid w:val="00F261EB"/>
    <w:rsid w:val="00F26459"/>
    <w:rsid w:val="00F268B3"/>
    <w:rsid w:val="00F2779C"/>
    <w:rsid w:val="00F2784F"/>
    <w:rsid w:val="00F27F27"/>
    <w:rsid w:val="00F308E7"/>
    <w:rsid w:val="00F31AA7"/>
    <w:rsid w:val="00F31D53"/>
    <w:rsid w:val="00F3268B"/>
    <w:rsid w:val="00F3282F"/>
    <w:rsid w:val="00F32DAD"/>
    <w:rsid w:val="00F33187"/>
    <w:rsid w:val="00F33535"/>
    <w:rsid w:val="00F3381A"/>
    <w:rsid w:val="00F33B6B"/>
    <w:rsid w:val="00F344A0"/>
    <w:rsid w:val="00F34563"/>
    <w:rsid w:val="00F34B27"/>
    <w:rsid w:val="00F34CEC"/>
    <w:rsid w:val="00F35904"/>
    <w:rsid w:val="00F3683D"/>
    <w:rsid w:val="00F370A9"/>
    <w:rsid w:val="00F378EF"/>
    <w:rsid w:val="00F3795E"/>
    <w:rsid w:val="00F40084"/>
    <w:rsid w:val="00F40886"/>
    <w:rsid w:val="00F4130F"/>
    <w:rsid w:val="00F41DB7"/>
    <w:rsid w:val="00F424A9"/>
    <w:rsid w:val="00F42A09"/>
    <w:rsid w:val="00F42C47"/>
    <w:rsid w:val="00F42E11"/>
    <w:rsid w:val="00F43804"/>
    <w:rsid w:val="00F442BA"/>
    <w:rsid w:val="00F44C8B"/>
    <w:rsid w:val="00F4551A"/>
    <w:rsid w:val="00F45640"/>
    <w:rsid w:val="00F45956"/>
    <w:rsid w:val="00F462D0"/>
    <w:rsid w:val="00F463B7"/>
    <w:rsid w:val="00F471DF"/>
    <w:rsid w:val="00F476CC"/>
    <w:rsid w:val="00F47FB2"/>
    <w:rsid w:val="00F5008D"/>
    <w:rsid w:val="00F50ACA"/>
    <w:rsid w:val="00F51687"/>
    <w:rsid w:val="00F51BF9"/>
    <w:rsid w:val="00F52BC0"/>
    <w:rsid w:val="00F5303A"/>
    <w:rsid w:val="00F53CF8"/>
    <w:rsid w:val="00F542A8"/>
    <w:rsid w:val="00F54A19"/>
    <w:rsid w:val="00F550C3"/>
    <w:rsid w:val="00F552EE"/>
    <w:rsid w:val="00F55E05"/>
    <w:rsid w:val="00F55FC3"/>
    <w:rsid w:val="00F567F7"/>
    <w:rsid w:val="00F56AFF"/>
    <w:rsid w:val="00F570B1"/>
    <w:rsid w:val="00F574F4"/>
    <w:rsid w:val="00F60462"/>
    <w:rsid w:val="00F60A71"/>
    <w:rsid w:val="00F62781"/>
    <w:rsid w:val="00F627A7"/>
    <w:rsid w:val="00F62FD6"/>
    <w:rsid w:val="00F64AE2"/>
    <w:rsid w:val="00F64FD9"/>
    <w:rsid w:val="00F6519C"/>
    <w:rsid w:val="00F659EB"/>
    <w:rsid w:val="00F65E42"/>
    <w:rsid w:val="00F665AE"/>
    <w:rsid w:val="00F666BE"/>
    <w:rsid w:val="00F66AD8"/>
    <w:rsid w:val="00F6741E"/>
    <w:rsid w:val="00F70031"/>
    <w:rsid w:val="00F705A0"/>
    <w:rsid w:val="00F71B0B"/>
    <w:rsid w:val="00F71E52"/>
    <w:rsid w:val="00F72471"/>
    <w:rsid w:val="00F726E6"/>
    <w:rsid w:val="00F73D9E"/>
    <w:rsid w:val="00F73F22"/>
    <w:rsid w:val="00F73FC8"/>
    <w:rsid w:val="00F7433E"/>
    <w:rsid w:val="00F74B71"/>
    <w:rsid w:val="00F74EA4"/>
    <w:rsid w:val="00F75230"/>
    <w:rsid w:val="00F75424"/>
    <w:rsid w:val="00F7626D"/>
    <w:rsid w:val="00F76B09"/>
    <w:rsid w:val="00F76FB4"/>
    <w:rsid w:val="00F77024"/>
    <w:rsid w:val="00F77E4F"/>
    <w:rsid w:val="00F81FE6"/>
    <w:rsid w:val="00F82464"/>
    <w:rsid w:val="00F826D6"/>
    <w:rsid w:val="00F82DFF"/>
    <w:rsid w:val="00F82FD6"/>
    <w:rsid w:val="00F8315B"/>
    <w:rsid w:val="00F83AD3"/>
    <w:rsid w:val="00F84418"/>
    <w:rsid w:val="00F845F6"/>
    <w:rsid w:val="00F84D9D"/>
    <w:rsid w:val="00F85A53"/>
    <w:rsid w:val="00F86107"/>
    <w:rsid w:val="00F862DB"/>
    <w:rsid w:val="00F86319"/>
    <w:rsid w:val="00F86881"/>
    <w:rsid w:val="00F8692E"/>
    <w:rsid w:val="00F86BF5"/>
    <w:rsid w:val="00F87C4E"/>
    <w:rsid w:val="00F87CEF"/>
    <w:rsid w:val="00F90ECD"/>
    <w:rsid w:val="00F924C4"/>
    <w:rsid w:val="00F931CB"/>
    <w:rsid w:val="00F94989"/>
    <w:rsid w:val="00F95152"/>
    <w:rsid w:val="00F9551B"/>
    <w:rsid w:val="00F95A89"/>
    <w:rsid w:val="00F961D4"/>
    <w:rsid w:val="00F964D3"/>
    <w:rsid w:val="00F96FCD"/>
    <w:rsid w:val="00FA020F"/>
    <w:rsid w:val="00FA1495"/>
    <w:rsid w:val="00FA27BE"/>
    <w:rsid w:val="00FA302E"/>
    <w:rsid w:val="00FA3B51"/>
    <w:rsid w:val="00FA5306"/>
    <w:rsid w:val="00FA7D3E"/>
    <w:rsid w:val="00FB003C"/>
    <w:rsid w:val="00FB02A8"/>
    <w:rsid w:val="00FB0A2A"/>
    <w:rsid w:val="00FB0A67"/>
    <w:rsid w:val="00FB14CF"/>
    <w:rsid w:val="00FB1DBC"/>
    <w:rsid w:val="00FB3023"/>
    <w:rsid w:val="00FB32DB"/>
    <w:rsid w:val="00FB3301"/>
    <w:rsid w:val="00FB375E"/>
    <w:rsid w:val="00FB5BAE"/>
    <w:rsid w:val="00FB6082"/>
    <w:rsid w:val="00FB67C8"/>
    <w:rsid w:val="00FB7480"/>
    <w:rsid w:val="00FB766D"/>
    <w:rsid w:val="00FB781D"/>
    <w:rsid w:val="00FC0067"/>
    <w:rsid w:val="00FC04DF"/>
    <w:rsid w:val="00FC0656"/>
    <w:rsid w:val="00FC1454"/>
    <w:rsid w:val="00FC1499"/>
    <w:rsid w:val="00FC1789"/>
    <w:rsid w:val="00FC1C9C"/>
    <w:rsid w:val="00FC246D"/>
    <w:rsid w:val="00FC2A69"/>
    <w:rsid w:val="00FC2EDA"/>
    <w:rsid w:val="00FC3192"/>
    <w:rsid w:val="00FC44F9"/>
    <w:rsid w:val="00FC49D1"/>
    <w:rsid w:val="00FC4E99"/>
    <w:rsid w:val="00FC526C"/>
    <w:rsid w:val="00FC588A"/>
    <w:rsid w:val="00FC5BA7"/>
    <w:rsid w:val="00FC5C6C"/>
    <w:rsid w:val="00FC5DF5"/>
    <w:rsid w:val="00FC687A"/>
    <w:rsid w:val="00FC6D04"/>
    <w:rsid w:val="00FC6D29"/>
    <w:rsid w:val="00FC7141"/>
    <w:rsid w:val="00FC7760"/>
    <w:rsid w:val="00FC77A6"/>
    <w:rsid w:val="00FC7910"/>
    <w:rsid w:val="00FD1E9B"/>
    <w:rsid w:val="00FD2CA0"/>
    <w:rsid w:val="00FD327D"/>
    <w:rsid w:val="00FD32C9"/>
    <w:rsid w:val="00FD3D0A"/>
    <w:rsid w:val="00FD4528"/>
    <w:rsid w:val="00FD46EF"/>
    <w:rsid w:val="00FD47CF"/>
    <w:rsid w:val="00FD5038"/>
    <w:rsid w:val="00FD53FC"/>
    <w:rsid w:val="00FD5B46"/>
    <w:rsid w:val="00FD5BCF"/>
    <w:rsid w:val="00FD66E3"/>
    <w:rsid w:val="00FD681D"/>
    <w:rsid w:val="00FD695C"/>
    <w:rsid w:val="00FD7429"/>
    <w:rsid w:val="00FE0B18"/>
    <w:rsid w:val="00FE0F04"/>
    <w:rsid w:val="00FE2C83"/>
    <w:rsid w:val="00FE2E5F"/>
    <w:rsid w:val="00FE3409"/>
    <w:rsid w:val="00FE3644"/>
    <w:rsid w:val="00FE4388"/>
    <w:rsid w:val="00FE464F"/>
    <w:rsid w:val="00FE4BF4"/>
    <w:rsid w:val="00FE517E"/>
    <w:rsid w:val="00FE53F2"/>
    <w:rsid w:val="00FE560F"/>
    <w:rsid w:val="00FE63C2"/>
    <w:rsid w:val="00FE63F2"/>
    <w:rsid w:val="00FE6B72"/>
    <w:rsid w:val="00FE6E67"/>
    <w:rsid w:val="00FE709B"/>
    <w:rsid w:val="00FE777D"/>
    <w:rsid w:val="00FE77ED"/>
    <w:rsid w:val="00FE78BE"/>
    <w:rsid w:val="00FF0A8A"/>
    <w:rsid w:val="00FF12C6"/>
    <w:rsid w:val="00FF12D0"/>
    <w:rsid w:val="00FF13BB"/>
    <w:rsid w:val="00FF1941"/>
    <w:rsid w:val="00FF1CA3"/>
    <w:rsid w:val="00FF201C"/>
    <w:rsid w:val="00FF2D59"/>
    <w:rsid w:val="00FF30B9"/>
    <w:rsid w:val="00FF32B6"/>
    <w:rsid w:val="00FF3865"/>
    <w:rsid w:val="00FF465B"/>
    <w:rsid w:val="00FF4BD8"/>
    <w:rsid w:val="00FF4DEE"/>
    <w:rsid w:val="00FF4EEF"/>
    <w:rsid w:val="00FF4F7D"/>
    <w:rsid w:val="00FF54F5"/>
    <w:rsid w:val="00FF6175"/>
    <w:rsid w:val="00FF6889"/>
    <w:rsid w:val="00FF6CD9"/>
    <w:rsid w:val="00FF6CDE"/>
    <w:rsid w:val="00FF7099"/>
    <w:rsid w:val="00FF76D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55A7"/>
  <w15:docId w15:val="{6421D013-4681-4CF7-A0EF-A0956CF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57D"/>
    <w:pPr>
      <w:keepNext/>
      <w:keepLines/>
      <w:numPr>
        <w:numId w:val="14"/>
      </w:numPr>
      <w:spacing w:before="120" w:after="120" w:line="360" w:lineRule="auto"/>
      <w:jc w:val="both"/>
      <w:outlineLvl w:val="0"/>
    </w:pPr>
    <w:rPr>
      <w:rFonts w:ascii="Times New Roman" w:eastAsiaTheme="majorEastAsia" w:hAnsi="Times New Roman" w:cs="Times New Roman"/>
      <w:b/>
      <w:bCs/>
      <w:smallCaps/>
      <w:sz w:val="24"/>
      <w:szCs w:val="24"/>
    </w:rPr>
  </w:style>
  <w:style w:type="paragraph" w:styleId="Heading2">
    <w:name w:val="heading 2"/>
    <w:basedOn w:val="Normal"/>
    <w:next w:val="Normal"/>
    <w:link w:val="Heading2Char"/>
    <w:uiPriority w:val="9"/>
    <w:unhideWhenUsed/>
    <w:qFormat/>
    <w:rsid w:val="0097157D"/>
    <w:pPr>
      <w:keepNext/>
      <w:keepLines/>
      <w:spacing w:before="40" w:after="0"/>
      <w:outlineLvl w:val="1"/>
    </w:pPr>
    <w:rPr>
      <w:rFonts w:ascii="Times New Roman" w:eastAsia="NewBaskervilleITCPro-Roman" w:hAnsi="Times New Roman" w:cs="Times New Roman"/>
      <w:i/>
      <w:iCs/>
      <w:sz w:val="24"/>
      <w:szCs w:val="24"/>
    </w:rPr>
  </w:style>
  <w:style w:type="paragraph" w:styleId="Heading3">
    <w:name w:val="heading 3"/>
    <w:basedOn w:val="Normal"/>
    <w:next w:val="Normal"/>
    <w:link w:val="Heading3Char"/>
    <w:uiPriority w:val="9"/>
    <w:unhideWhenUsed/>
    <w:qFormat/>
    <w:rsid w:val="00C956FC"/>
    <w:pPr>
      <w:spacing w:before="120" w:after="120" w:line="360" w:lineRule="auto"/>
      <w:ind w:firstLine="360"/>
      <w:jc w:val="both"/>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7245"/>
    <w:pPr>
      <w:spacing w:after="0" w:line="240" w:lineRule="auto"/>
    </w:pPr>
    <w:rPr>
      <w:sz w:val="20"/>
      <w:szCs w:val="20"/>
    </w:rPr>
  </w:style>
  <w:style w:type="character" w:customStyle="1" w:styleId="FootnoteTextChar">
    <w:name w:val="Footnote Text Char"/>
    <w:basedOn w:val="DefaultParagraphFont"/>
    <w:link w:val="FootnoteText"/>
    <w:uiPriority w:val="99"/>
    <w:rsid w:val="00B07245"/>
    <w:rPr>
      <w:sz w:val="20"/>
      <w:szCs w:val="20"/>
    </w:rPr>
  </w:style>
  <w:style w:type="character" w:styleId="FootnoteReference">
    <w:name w:val="footnote reference"/>
    <w:basedOn w:val="DefaultParagraphFont"/>
    <w:uiPriority w:val="99"/>
    <w:semiHidden/>
    <w:unhideWhenUsed/>
    <w:rsid w:val="00B07245"/>
    <w:rPr>
      <w:vertAlign w:val="superscript"/>
    </w:rPr>
  </w:style>
  <w:style w:type="paragraph" w:styleId="ListParagraph">
    <w:name w:val="List Paragraph"/>
    <w:basedOn w:val="Normal"/>
    <w:uiPriority w:val="34"/>
    <w:qFormat/>
    <w:rsid w:val="00F64AE2"/>
    <w:pPr>
      <w:ind w:left="720"/>
      <w:contextualSpacing/>
    </w:pPr>
  </w:style>
  <w:style w:type="paragraph" w:styleId="EndnoteText">
    <w:name w:val="endnote text"/>
    <w:basedOn w:val="Normal"/>
    <w:link w:val="EndnoteTextChar"/>
    <w:uiPriority w:val="99"/>
    <w:semiHidden/>
    <w:unhideWhenUsed/>
    <w:rsid w:val="009421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216C"/>
    <w:rPr>
      <w:sz w:val="20"/>
      <w:szCs w:val="20"/>
    </w:rPr>
  </w:style>
  <w:style w:type="character" w:styleId="EndnoteReference">
    <w:name w:val="endnote reference"/>
    <w:basedOn w:val="DefaultParagraphFont"/>
    <w:uiPriority w:val="99"/>
    <w:semiHidden/>
    <w:unhideWhenUsed/>
    <w:rsid w:val="0094216C"/>
    <w:rPr>
      <w:vertAlign w:val="superscript"/>
    </w:rPr>
  </w:style>
  <w:style w:type="character" w:styleId="CommentReference">
    <w:name w:val="annotation reference"/>
    <w:basedOn w:val="DefaultParagraphFont"/>
    <w:uiPriority w:val="99"/>
    <w:semiHidden/>
    <w:unhideWhenUsed/>
    <w:rsid w:val="001B7BB9"/>
    <w:rPr>
      <w:sz w:val="16"/>
      <w:szCs w:val="16"/>
    </w:rPr>
  </w:style>
  <w:style w:type="paragraph" w:styleId="CommentText">
    <w:name w:val="annotation text"/>
    <w:basedOn w:val="Normal"/>
    <w:link w:val="CommentTextChar"/>
    <w:uiPriority w:val="99"/>
    <w:unhideWhenUsed/>
    <w:rsid w:val="001B7BB9"/>
    <w:pPr>
      <w:spacing w:line="240" w:lineRule="auto"/>
    </w:pPr>
    <w:rPr>
      <w:sz w:val="20"/>
      <w:szCs w:val="20"/>
    </w:rPr>
  </w:style>
  <w:style w:type="character" w:customStyle="1" w:styleId="CommentTextChar">
    <w:name w:val="Comment Text Char"/>
    <w:basedOn w:val="DefaultParagraphFont"/>
    <w:link w:val="CommentText"/>
    <w:uiPriority w:val="99"/>
    <w:rsid w:val="001B7BB9"/>
    <w:rPr>
      <w:sz w:val="20"/>
      <w:szCs w:val="20"/>
    </w:rPr>
  </w:style>
  <w:style w:type="paragraph" w:styleId="CommentSubject">
    <w:name w:val="annotation subject"/>
    <w:basedOn w:val="CommentText"/>
    <w:next w:val="CommentText"/>
    <w:link w:val="CommentSubjectChar"/>
    <w:uiPriority w:val="99"/>
    <w:semiHidden/>
    <w:unhideWhenUsed/>
    <w:rsid w:val="001B7BB9"/>
    <w:rPr>
      <w:b/>
      <w:bCs/>
    </w:rPr>
  </w:style>
  <w:style w:type="character" w:customStyle="1" w:styleId="CommentSubjectChar">
    <w:name w:val="Comment Subject Char"/>
    <w:basedOn w:val="CommentTextChar"/>
    <w:link w:val="CommentSubject"/>
    <w:uiPriority w:val="99"/>
    <w:semiHidden/>
    <w:rsid w:val="001B7BB9"/>
    <w:rPr>
      <w:b/>
      <w:bCs/>
      <w:sz w:val="20"/>
      <w:szCs w:val="20"/>
    </w:rPr>
  </w:style>
  <w:style w:type="character" w:styleId="Hyperlink">
    <w:name w:val="Hyperlink"/>
    <w:basedOn w:val="DefaultParagraphFont"/>
    <w:uiPriority w:val="99"/>
    <w:unhideWhenUsed/>
    <w:rsid w:val="00D41B42"/>
    <w:rPr>
      <w:color w:val="0563C1" w:themeColor="hyperlink"/>
      <w:u w:val="single"/>
    </w:rPr>
  </w:style>
  <w:style w:type="character" w:customStyle="1" w:styleId="UnresolvedMention1">
    <w:name w:val="Unresolved Mention1"/>
    <w:basedOn w:val="DefaultParagraphFont"/>
    <w:uiPriority w:val="99"/>
    <w:semiHidden/>
    <w:unhideWhenUsed/>
    <w:rsid w:val="00D41B42"/>
    <w:rPr>
      <w:color w:val="605E5C"/>
      <w:shd w:val="clear" w:color="auto" w:fill="E1DFDD"/>
    </w:rPr>
  </w:style>
  <w:style w:type="character" w:customStyle="1" w:styleId="Heading1Char">
    <w:name w:val="Heading 1 Char"/>
    <w:basedOn w:val="DefaultParagraphFont"/>
    <w:link w:val="Heading1"/>
    <w:uiPriority w:val="9"/>
    <w:rsid w:val="0097157D"/>
    <w:rPr>
      <w:rFonts w:ascii="Times New Roman" w:eastAsiaTheme="majorEastAsia" w:hAnsi="Times New Roman" w:cs="Times New Roman"/>
      <w:b/>
      <w:bCs/>
      <w:smallCaps/>
      <w:sz w:val="24"/>
      <w:szCs w:val="24"/>
    </w:rPr>
  </w:style>
  <w:style w:type="character" w:customStyle="1" w:styleId="Heading2Char">
    <w:name w:val="Heading 2 Char"/>
    <w:basedOn w:val="DefaultParagraphFont"/>
    <w:link w:val="Heading2"/>
    <w:uiPriority w:val="9"/>
    <w:rsid w:val="0097157D"/>
    <w:rPr>
      <w:rFonts w:ascii="Times New Roman" w:eastAsia="NewBaskervilleITCPro-Roman" w:hAnsi="Times New Roman" w:cs="Times New Roman"/>
      <w:i/>
      <w:iCs/>
      <w:sz w:val="24"/>
      <w:szCs w:val="24"/>
    </w:rPr>
  </w:style>
  <w:style w:type="character" w:customStyle="1" w:styleId="Heading3Char">
    <w:name w:val="Heading 3 Char"/>
    <w:basedOn w:val="DefaultParagraphFont"/>
    <w:link w:val="Heading3"/>
    <w:uiPriority w:val="9"/>
    <w:rsid w:val="00C956FC"/>
    <w:rPr>
      <w:rFonts w:ascii="Times New Roman" w:hAnsi="Times New Roman" w:cs="Times New Roman"/>
      <w:i/>
      <w:iCs/>
      <w:sz w:val="24"/>
      <w:szCs w:val="24"/>
    </w:rPr>
  </w:style>
  <w:style w:type="paragraph" w:styleId="Header">
    <w:name w:val="header"/>
    <w:basedOn w:val="Normal"/>
    <w:link w:val="HeaderChar"/>
    <w:uiPriority w:val="99"/>
    <w:unhideWhenUsed/>
    <w:rsid w:val="00215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9F0"/>
  </w:style>
  <w:style w:type="paragraph" w:styleId="Footer">
    <w:name w:val="footer"/>
    <w:basedOn w:val="Normal"/>
    <w:link w:val="FooterChar"/>
    <w:uiPriority w:val="99"/>
    <w:unhideWhenUsed/>
    <w:rsid w:val="00215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9F0"/>
  </w:style>
  <w:style w:type="paragraph" w:styleId="BalloonText">
    <w:name w:val="Balloon Text"/>
    <w:basedOn w:val="Normal"/>
    <w:link w:val="BalloonTextChar"/>
    <w:uiPriority w:val="99"/>
    <w:semiHidden/>
    <w:unhideWhenUsed/>
    <w:rsid w:val="00F82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FF"/>
    <w:rPr>
      <w:rFonts w:ascii="Segoe UI" w:hAnsi="Segoe UI" w:cs="Segoe UI"/>
      <w:sz w:val="18"/>
      <w:szCs w:val="18"/>
    </w:rPr>
  </w:style>
  <w:style w:type="paragraph" w:styleId="Revision">
    <w:name w:val="Revision"/>
    <w:hidden/>
    <w:uiPriority w:val="99"/>
    <w:semiHidden/>
    <w:rsid w:val="00AE2F94"/>
    <w:pPr>
      <w:spacing w:after="0" w:line="240" w:lineRule="auto"/>
    </w:pPr>
  </w:style>
  <w:style w:type="character" w:styleId="Emphasis">
    <w:name w:val="Emphasis"/>
    <w:basedOn w:val="DefaultParagraphFont"/>
    <w:uiPriority w:val="20"/>
    <w:qFormat/>
    <w:rsid w:val="009D358E"/>
    <w:rPr>
      <w:i/>
      <w:iCs/>
    </w:rPr>
  </w:style>
  <w:style w:type="paragraph" w:styleId="NormalWeb">
    <w:name w:val="Normal (Web)"/>
    <w:basedOn w:val="Normal"/>
    <w:uiPriority w:val="99"/>
    <w:semiHidden/>
    <w:unhideWhenUsed/>
    <w:rsid w:val="00060D9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55427"/>
    <w:rPr>
      <w:color w:val="954F72" w:themeColor="followedHyperlink"/>
      <w:u w:val="single"/>
    </w:rPr>
  </w:style>
  <w:style w:type="character" w:customStyle="1" w:styleId="UnresolvedMention2">
    <w:name w:val="Unresolved Mention2"/>
    <w:basedOn w:val="DefaultParagraphFont"/>
    <w:uiPriority w:val="99"/>
    <w:semiHidden/>
    <w:unhideWhenUsed/>
    <w:rsid w:val="0009697F"/>
    <w:rPr>
      <w:color w:val="605E5C"/>
      <w:shd w:val="clear" w:color="auto" w:fill="E1DFDD"/>
    </w:rPr>
  </w:style>
  <w:style w:type="paragraph" w:styleId="TOCHeading">
    <w:name w:val="TOC Heading"/>
    <w:basedOn w:val="Heading1"/>
    <w:next w:val="Normal"/>
    <w:uiPriority w:val="39"/>
    <w:unhideWhenUsed/>
    <w:qFormat/>
    <w:rsid w:val="005C5F78"/>
    <w:pPr>
      <w:outlineLvl w:val="9"/>
    </w:pPr>
    <w:rPr>
      <w:rFonts w:asciiTheme="majorHAnsi" w:hAnsiTheme="majorHAnsi" w:cstheme="majorBidi"/>
      <w:b w:val="0"/>
      <w:bCs w:val="0"/>
      <w:color w:val="2F5496" w:themeColor="accent1" w:themeShade="BF"/>
      <w:kern w:val="0"/>
      <w:sz w:val="32"/>
      <w:szCs w:val="32"/>
      <w14:ligatures w14:val="none"/>
    </w:rPr>
  </w:style>
  <w:style w:type="paragraph" w:styleId="TOC2">
    <w:name w:val="toc 2"/>
    <w:basedOn w:val="Normal"/>
    <w:next w:val="Normal"/>
    <w:autoRedefine/>
    <w:uiPriority w:val="39"/>
    <w:unhideWhenUsed/>
    <w:rsid w:val="005C5F7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1858CB"/>
    <w:pPr>
      <w:tabs>
        <w:tab w:val="left" w:pos="440"/>
        <w:tab w:val="right" w:leader="dot" w:pos="9350"/>
      </w:tabs>
      <w:spacing w:after="100"/>
    </w:pPr>
    <w:rPr>
      <w:rFonts w:asciiTheme="majorBidi" w:eastAsiaTheme="minorEastAsia" w:hAnsiTheme="majorBidi" w:cstheme="majorBidi"/>
      <w:noProof/>
      <w:kern w:val="0"/>
      <w14:ligatures w14:val="none"/>
    </w:rPr>
  </w:style>
  <w:style w:type="paragraph" w:styleId="TOC3">
    <w:name w:val="toc 3"/>
    <w:basedOn w:val="Normal"/>
    <w:next w:val="Normal"/>
    <w:autoRedefine/>
    <w:uiPriority w:val="39"/>
    <w:unhideWhenUsed/>
    <w:rsid w:val="005C5F78"/>
    <w:pPr>
      <w:spacing w:after="100"/>
      <w:ind w:left="440"/>
    </w:pPr>
    <w:rPr>
      <w:rFonts w:eastAsiaTheme="minorEastAsia" w:cs="Times New Roman"/>
      <w:kern w:val="0"/>
      <w14:ligatures w14:val="none"/>
    </w:rPr>
  </w:style>
  <w:style w:type="character" w:customStyle="1" w:styleId="UnresolvedMention3">
    <w:name w:val="Unresolved Mention3"/>
    <w:basedOn w:val="DefaultParagraphFont"/>
    <w:uiPriority w:val="99"/>
    <w:semiHidden/>
    <w:unhideWhenUsed/>
    <w:rsid w:val="00DE253D"/>
    <w:rPr>
      <w:color w:val="605E5C"/>
      <w:shd w:val="clear" w:color="auto" w:fill="E1DFDD"/>
    </w:rPr>
  </w:style>
  <w:style w:type="character" w:customStyle="1" w:styleId="UnresolvedMention4">
    <w:name w:val="Unresolved Mention4"/>
    <w:basedOn w:val="DefaultParagraphFont"/>
    <w:uiPriority w:val="99"/>
    <w:semiHidden/>
    <w:unhideWhenUsed/>
    <w:rsid w:val="008C43BF"/>
    <w:rPr>
      <w:color w:val="605E5C"/>
      <w:shd w:val="clear" w:color="auto" w:fill="E1DFDD"/>
    </w:rPr>
  </w:style>
  <w:style w:type="character" w:customStyle="1" w:styleId="UnresolvedMention5">
    <w:name w:val="Unresolved Mention5"/>
    <w:basedOn w:val="DefaultParagraphFont"/>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061">
      <w:bodyDiv w:val="1"/>
      <w:marLeft w:val="0"/>
      <w:marRight w:val="0"/>
      <w:marTop w:val="0"/>
      <w:marBottom w:val="0"/>
      <w:divBdr>
        <w:top w:val="none" w:sz="0" w:space="0" w:color="auto"/>
        <w:left w:val="none" w:sz="0" w:space="0" w:color="auto"/>
        <w:bottom w:val="none" w:sz="0" w:space="0" w:color="auto"/>
        <w:right w:val="none" w:sz="0" w:space="0" w:color="auto"/>
      </w:divBdr>
    </w:div>
    <w:div w:id="48113074">
      <w:bodyDiv w:val="1"/>
      <w:marLeft w:val="0"/>
      <w:marRight w:val="0"/>
      <w:marTop w:val="0"/>
      <w:marBottom w:val="0"/>
      <w:divBdr>
        <w:top w:val="none" w:sz="0" w:space="0" w:color="auto"/>
        <w:left w:val="none" w:sz="0" w:space="0" w:color="auto"/>
        <w:bottom w:val="none" w:sz="0" w:space="0" w:color="auto"/>
        <w:right w:val="none" w:sz="0" w:space="0" w:color="auto"/>
      </w:divBdr>
      <w:divsChild>
        <w:div w:id="2115438926">
          <w:marLeft w:val="0"/>
          <w:marRight w:val="0"/>
          <w:marTop w:val="0"/>
          <w:marBottom w:val="0"/>
          <w:divBdr>
            <w:top w:val="none" w:sz="0" w:space="0" w:color="auto"/>
            <w:left w:val="none" w:sz="0" w:space="0" w:color="auto"/>
            <w:bottom w:val="none" w:sz="0" w:space="0" w:color="auto"/>
            <w:right w:val="none" w:sz="0" w:space="0" w:color="auto"/>
          </w:divBdr>
          <w:divsChild>
            <w:div w:id="2657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122">
      <w:bodyDiv w:val="1"/>
      <w:marLeft w:val="0"/>
      <w:marRight w:val="0"/>
      <w:marTop w:val="0"/>
      <w:marBottom w:val="0"/>
      <w:divBdr>
        <w:top w:val="none" w:sz="0" w:space="0" w:color="auto"/>
        <w:left w:val="none" w:sz="0" w:space="0" w:color="auto"/>
        <w:bottom w:val="none" w:sz="0" w:space="0" w:color="auto"/>
        <w:right w:val="none" w:sz="0" w:space="0" w:color="auto"/>
      </w:divBdr>
      <w:divsChild>
        <w:div w:id="548615599">
          <w:marLeft w:val="0"/>
          <w:marRight w:val="0"/>
          <w:marTop w:val="0"/>
          <w:marBottom w:val="0"/>
          <w:divBdr>
            <w:top w:val="none" w:sz="0" w:space="0" w:color="3D3D3D"/>
            <w:left w:val="none" w:sz="0" w:space="0" w:color="3D3D3D"/>
            <w:bottom w:val="none" w:sz="0" w:space="0" w:color="3D3D3D"/>
            <w:right w:val="none" w:sz="0" w:space="0" w:color="3D3D3D"/>
          </w:divBdr>
          <w:divsChild>
            <w:div w:id="8360448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541197">
      <w:bodyDiv w:val="1"/>
      <w:marLeft w:val="0"/>
      <w:marRight w:val="0"/>
      <w:marTop w:val="0"/>
      <w:marBottom w:val="0"/>
      <w:divBdr>
        <w:top w:val="none" w:sz="0" w:space="0" w:color="auto"/>
        <w:left w:val="none" w:sz="0" w:space="0" w:color="auto"/>
        <w:bottom w:val="none" w:sz="0" w:space="0" w:color="auto"/>
        <w:right w:val="none" w:sz="0" w:space="0" w:color="auto"/>
      </w:divBdr>
      <w:divsChild>
        <w:div w:id="132330310">
          <w:marLeft w:val="0"/>
          <w:marRight w:val="0"/>
          <w:marTop w:val="0"/>
          <w:marBottom w:val="0"/>
          <w:divBdr>
            <w:top w:val="none" w:sz="0" w:space="0" w:color="3D3D3D"/>
            <w:left w:val="none" w:sz="0" w:space="0" w:color="3D3D3D"/>
            <w:bottom w:val="none" w:sz="0" w:space="0" w:color="3D3D3D"/>
            <w:right w:val="none" w:sz="0" w:space="0" w:color="3D3D3D"/>
          </w:divBdr>
          <w:divsChild>
            <w:div w:id="16424675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1089333">
      <w:bodyDiv w:val="1"/>
      <w:marLeft w:val="0"/>
      <w:marRight w:val="0"/>
      <w:marTop w:val="0"/>
      <w:marBottom w:val="0"/>
      <w:divBdr>
        <w:top w:val="none" w:sz="0" w:space="0" w:color="auto"/>
        <w:left w:val="none" w:sz="0" w:space="0" w:color="auto"/>
        <w:bottom w:val="none" w:sz="0" w:space="0" w:color="auto"/>
        <w:right w:val="none" w:sz="0" w:space="0" w:color="auto"/>
      </w:divBdr>
      <w:divsChild>
        <w:div w:id="779954826">
          <w:marLeft w:val="0"/>
          <w:marRight w:val="0"/>
          <w:marTop w:val="0"/>
          <w:marBottom w:val="0"/>
          <w:divBdr>
            <w:top w:val="none" w:sz="0" w:space="0" w:color="212121"/>
            <w:left w:val="none" w:sz="0" w:space="0" w:color="212121"/>
            <w:bottom w:val="none" w:sz="0" w:space="0" w:color="212121"/>
            <w:right w:val="none" w:sz="0" w:space="0" w:color="212121"/>
          </w:divBdr>
          <w:divsChild>
            <w:div w:id="1641958026">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38635701">
      <w:bodyDiv w:val="1"/>
      <w:marLeft w:val="0"/>
      <w:marRight w:val="0"/>
      <w:marTop w:val="0"/>
      <w:marBottom w:val="0"/>
      <w:divBdr>
        <w:top w:val="none" w:sz="0" w:space="0" w:color="auto"/>
        <w:left w:val="none" w:sz="0" w:space="0" w:color="auto"/>
        <w:bottom w:val="none" w:sz="0" w:space="0" w:color="auto"/>
        <w:right w:val="none" w:sz="0" w:space="0" w:color="auto"/>
      </w:divBdr>
      <w:divsChild>
        <w:div w:id="1778986217">
          <w:marLeft w:val="0"/>
          <w:marRight w:val="0"/>
          <w:marTop w:val="0"/>
          <w:marBottom w:val="0"/>
          <w:divBdr>
            <w:top w:val="none" w:sz="0" w:space="0" w:color="3D3D3D"/>
            <w:left w:val="none" w:sz="0" w:space="0" w:color="3D3D3D"/>
            <w:bottom w:val="none" w:sz="0" w:space="0" w:color="3D3D3D"/>
            <w:right w:val="none" w:sz="0" w:space="0" w:color="3D3D3D"/>
          </w:divBdr>
          <w:divsChild>
            <w:div w:id="719756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48541510">
      <w:bodyDiv w:val="1"/>
      <w:marLeft w:val="0"/>
      <w:marRight w:val="0"/>
      <w:marTop w:val="0"/>
      <w:marBottom w:val="0"/>
      <w:divBdr>
        <w:top w:val="none" w:sz="0" w:space="0" w:color="auto"/>
        <w:left w:val="none" w:sz="0" w:space="0" w:color="auto"/>
        <w:bottom w:val="none" w:sz="0" w:space="0" w:color="auto"/>
        <w:right w:val="none" w:sz="0" w:space="0" w:color="auto"/>
      </w:divBdr>
      <w:divsChild>
        <w:div w:id="557209690">
          <w:marLeft w:val="0"/>
          <w:marRight w:val="0"/>
          <w:marTop w:val="0"/>
          <w:marBottom w:val="0"/>
          <w:divBdr>
            <w:top w:val="none" w:sz="0" w:space="0" w:color="3D3D3D"/>
            <w:left w:val="none" w:sz="0" w:space="0" w:color="3D3D3D"/>
            <w:bottom w:val="none" w:sz="0" w:space="0" w:color="3D3D3D"/>
            <w:right w:val="none" w:sz="0" w:space="0" w:color="3D3D3D"/>
          </w:divBdr>
          <w:divsChild>
            <w:div w:id="5727369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4311141">
      <w:bodyDiv w:val="1"/>
      <w:marLeft w:val="0"/>
      <w:marRight w:val="0"/>
      <w:marTop w:val="0"/>
      <w:marBottom w:val="0"/>
      <w:divBdr>
        <w:top w:val="none" w:sz="0" w:space="0" w:color="auto"/>
        <w:left w:val="none" w:sz="0" w:space="0" w:color="auto"/>
        <w:bottom w:val="none" w:sz="0" w:space="0" w:color="auto"/>
        <w:right w:val="none" w:sz="0" w:space="0" w:color="auto"/>
      </w:divBdr>
      <w:divsChild>
        <w:div w:id="841702543">
          <w:marLeft w:val="0"/>
          <w:marRight w:val="0"/>
          <w:marTop w:val="0"/>
          <w:marBottom w:val="0"/>
          <w:divBdr>
            <w:top w:val="none" w:sz="0" w:space="0" w:color="3D3D3D"/>
            <w:left w:val="none" w:sz="0" w:space="0" w:color="3D3D3D"/>
            <w:bottom w:val="none" w:sz="0" w:space="0" w:color="3D3D3D"/>
            <w:right w:val="none" w:sz="0" w:space="0" w:color="3D3D3D"/>
          </w:divBdr>
          <w:divsChild>
            <w:div w:id="19575613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5772126">
      <w:bodyDiv w:val="1"/>
      <w:marLeft w:val="0"/>
      <w:marRight w:val="0"/>
      <w:marTop w:val="0"/>
      <w:marBottom w:val="0"/>
      <w:divBdr>
        <w:top w:val="none" w:sz="0" w:space="0" w:color="auto"/>
        <w:left w:val="none" w:sz="0" w:space="0" w:color="auto"/>
        <w:bottom w:val="none" w:sz="0" w:space="0" w:color="auto"/>
        <w:right w:val="none" w:sz="0" w:space="0" w:color="auto"/>
      </w:divBdr>
    </w:div>
    <w:div w:id="295648216">
      <w:bodyDiv w:val="1"/>
      <w:marLeft w:val="0"/>
      <w:marRight w:val="0"/>
      <w:marTop w:val="0"/>
      <w:marBottom w:val="0"/>
      <w:divBdr>
        <w:top w:val="none" w:sz="0" w:space="0" w:color="auto"/>
        <w:left w:val="none" w:sz="0" w:space="0" w:color="auto"/>
        <w:bottom w:val="none" w:sz="0" w:space="0" w:color="auto"/>
        <w:right w:val="none" w:sz="0" w:space="0" w:color="auto"/>
      </w:divBdr>
    </w:div>
    <w:div w:id="332531581">
      <w:bodyDiv w:val="1"/>
      <w:marLeft w:val="0"/>
      <w:marRight w:val="0"/>
      <w:marTop w:val="0"/>
      <w:marBottom w:val="0"/>
      <w:divBdr>
        <w:top w:val="none" w:sz="0" w:space="0" w:color="auto"/>
        <w:left w:val="none" w:sz="0" w:space="0" w:color="auto"/>
        <w:bottom w:val="none" w:sz="0" w:space="0" w:color="auto"/>
        <w:right w:val="none" w:sz="0" w:space="0" w:color="auto"/>
      </w:divBdr>
      <w:divsChild>
        <w:div w:id="276643334">
          <w:marLeft w:val="0"/>
          <w:marRight w:val="0"/>
          <w:marTop w:val="0"/>
          <w:marBottom w:val="0"/>
          <w:divBdr>
            <w:top w:val="none" w:sz="0" w:space="0" w:color="3D3D3D"/>
            <w:left w:val="none" w:sz="0" w:space="0" w:color="3D3D3D"/>
            <w:bottom w:val="none" w:sz="0" w:space="0" w:color="3D3D3D"/>
            <w:right w:val="none" w:sz="0" w:space="0" w:color="3D3D3D"/>
          </w:divBdr>
          <w:divsChild>
            <w:div w:id="10314202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8841681">
      <w:bodyDiv w:val="1"/>
      <w:marLeft w:val="0"/>
      <w:marRight w:val="0"/>
      <w:marTop w:val="0"/>
      <w:marBottom w:val="0"/>
      <w:divBdr>
        <w:top w:val="none" w:sz="0" w:space="0" w:color="auto"/>
        <w:left w:val="none" w:sz="0" w:space="0" w:color="auto"/>
        <w:bottom w:val="none" w:sz="0" w:space="0" w:color="auto"/>
        <w:right w:val="none" w:sz="0" w:space="0" w:color="auto"/>
      </w:divBdr>
    </w:div>
    <w:div w:id="397901263">
      <w:bodyDiv w:val="1"/>
      <w:marLeft w:val="0"/>
      <w:marRight w:val="0"/>
      <w:marTop w:val="0"/>
      <w:marBottom w:val="0"/>
      <w:divBdr>
        <w:top w:val="none" w:sz="0" w:space="0" w:color="auto"/>
        <w:left w:val="none" w:sz="0" w:space="0" w:color="auto"/>
        <w:bottom w:val="none" w:sz="0" w:space="0" w:color="auto"/>
        <w:right w:val="none" w:sz="0" w:space="0" w:color="auto"/>
      </w:divBdr>
      <w:divsChild>
        <w:div w:id="679166184">
          <w:marLeft w:val="0"/>
          <w:marRight w:val="0"/>
          <w:marTop w:val="0"/>
          <w:marBottom w:val="0"/>
          <w:divBdr>
            <w:top w:val="none" w:sz="0" w:space="0" w:color="3D3D3D"/>
            <w:left w:val="none" w:sz="0" w:space="0" w:color="3D3D3D"/>
            <w:bottom w:val="none" w:sz="0" w:space="0" w:color="3D3D3D"/>
            <w:right w:val="none" w:sz="0" w:space="0" w:color="3D3D3D"/>
          </w:divBdr>
          <w:divsChild>
            <w:div w:id="12493849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0638235">
      <w:bodyDiv w:val="1"/>
      <w:marLeft w:val="0"/>
      <w:marRight w:val="0"/>
      <w:marTop w:val="0"/>
      <w:marBottom w:val="0"/>
      <w:divBdr>
        <w:top w:val="none" w:sz="0" w:space="0" w:color="auto"/>
        <w:left w:val="none" w:sz="0" w:space="0" w:color="auto"/>
        <w:bottom w:val="none" w:sz="0" w:space="0" w:color="auto"/>
        <w:right w:val="none" w:sz="0" w:space="0" w:color="auto"/>
      </w:divBdr>
      <w:divsChild>
        <w:div w:id="5644137">
          <w:marLeft w:val="0"/>
          <w:marRight w:val="0"/>
          <w:marTop w:val="0"/>
          <w:marBottom w:val="0"/>
          <w:divBdr>
            <w:top w:val="none" w:sz="0" w:space="0" w:color="3D3D3D"/>
            <w:left w:val="none" w:sz="0" w:space="0" w:color="3D3D3D"/>
            <w:bottom w:val="none" w:sz="0" w:space="0" w:color="3D3D3D"/>
            <w:right w:val="none" w:sz="0" w:space="0" w:color="3D3D3D"/>
          </w:divBdr>
          <w:divsChild>
            <w:div w:id="7594485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7046242">
      <w:bodyDiv w:val="1"/>
      <w:marLeft w:val="0"/>
      <w:marRight w:val="0"/>
      <w:marTop w:val="0"/>
      <w:marBottom w:val="0"/>
      <w:divBdr>
        <w:top w:val="none" w:sz="0" w:space="0" w:color="auto"/>
        <w:left w:val="none" w:sz="0" w:space="0" w:color="auto"/>
        <w:bottom w:val="none" w:sz="0" w:space="0" w:color="auto"/>
        <w:right w:val="none" w:sz="0" w:space="0" w:color="auto"/>
      </w:divBdr>
    </w:div>
    <w:div w:id="428045576">
      <w:bodyDiv w:val="1"/>
      <w:marLeft w:val="0"/>
      <w:marRight w:val="0"/>
      <w:marTop w:val="0"/>
      <w:marBottom w:val="0"/>
      <w:divBdr>
        <w:top w:val="none" w:sz="0" w:space="0" w:color="auto"/>
        <w:left w:val="none" w:sz="0" w:space="0" w:color="auto"/>
        <w:bottom w:val="none" w:sz="0" w:space="0" w:color="auto"/>
        <w:right w:val="none" w:sz="0" w:space="0" w:color="auto"/>
      </w:divBdr>
    </w:div>
    <w:div w:id="440957577">
      <w:bodyDiv w:val="1"/>
      <w:marLeft w:val="0"/>
      <w:marRight w:val="0"/>
      <w:marTop w:val="0"/>
      <w:marBottom w:val="0"/>
      <w:divBdr>
        <w:top w:val="none" w:sz="0" w:space="0" w:color="auto"/>
        <w:left w:val="none" w:sz="0" w:space="0" w:color="auto"/>
        <w:bottom w:val="none" w:sz="0" w:space="0" w:color="auto"/>
        <w:right w:val="none" w:sz="0" w:space="0" w:color="auto"/>
      </w:divBdr>
    </w:div>
    <w:div w:id="460340505">
      <w:bodyDiv w:val="1"/>
      <w:marLeft w:val="0"/>
      <w:marRight w:val="0"/>
      <w:marTop w:val="0"/>
      <w:marBottom w:val="0"/>
      <w:divBdr>
        <w:top w:val="none" w:sz="0" w:space="0" w:color="auto"/>
        <w:left w:val="none" w:sz="0" w:space="0" w:color="auto"/>
        <w:bottom w:val="none" w:sz="0" w:space="0" w:color="auto"/>
        <w:right w:val="none" w:sz="0" w:space="0" w:color="auto"/>
      </w:divBdr>
      <w:divsChild>
        <w:div w:id="1339430107">
          <w:marLeft w:val="0"/>
          <w:marRight w:val="0"/>
          <w:marTop w:val="0"/>
          <w:marBottom w:val="0"/>
          <w:divBdr>
            <w:top w:val="none" w:sz="0" w:space="0" w:color="3D3D3D"/>
            <w:left w:val="none" w:sz="0" w:space="0" w:color="3D3D3D"/>
            <w:bottom w:val="none" w:sz="0" w:space="0" w:color="3D3D3D"/>
            <w:right w:val="none" w:sz="0" w:space="0" w:color="3D3D3D"/>
          </w:divBdr>
          <w:divsChild>
            <w:div w:id="6290910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5510848">
      <w:bodyDiv w:val="1"/>
      <w:marLeft w:val="0"/>
      <w:marRight w:val="0"/>
      <w:marTop w:val="0"/>
      <w:marBottom w:val="0"/>
      <w:divBdr>
        <w:top w:val="none" w:sz="0" w:space="0" w:color="auto"/>
        <w:left w:val="none" w:sz="0" w:space="0" w:color="auto"/>
        <w:bottom w:val="none" w:sz="0" w:space="0" w:color="auto"/>
        <w:right w:val="none" w:sz="0" w:space="0" w:color="auto"/>
      </w:divBdr>
    </w:div>
    <w:div w:id="499077755">
      <w:bodyDiv w:val="1"/>
      <w:marLeft w:val="0"/>
      <w:marRight w:val="0"/>
      <w:marTop w:val="0"/>
      <w:marBottom w:val="0"/>
      <w:divBdr>
        <w:top w:val="none" w:sz="0" w:space="0" w:color="auto"/>
        <w:left w:val="none" w:sz="0" w:space="0" w:color="auto"/>
        <w:bottom w:val="none" w:sz="0" w:space="0" w:color="auto"/>
        <w:right w:val="none" w:sz="0" w:space="0" w:color="auto"/>
      </w:divBdr>
      <w:divsChild>
        <w:div w:id="1305239589">
          <w:marLeft w:val="0"/>
          <w:marRight w:val="0"/>
          <w:marTop w:val="0"/>
          <w:marBottom w:val="0"/>
          <w:divBdr>
            <w:top w:val="none" w:sz="0" w:space="0" w:color="3D3D3D"/>
            <w:left w:val="none" w:sz="0" w:space="0" w:color="3D3D3D"/>
            <w:bottom w:val="none" w:sz="0" w:space="0" w:color="3D3D3D"/>
            <w:right w:val="none" w:sz="0" w:space="0" w:color="3D3D3D"/>
          </w:divBdr>
          <w:divsChild>
            <w:div w:id="8994402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18390707">
      <w:bodyDiv w:val="1"/>
      <w:marLeft w:val="0"/>
      <w:marRight w:val="0"/>
      <w:marTop w:val="0"/>
      <w:marBottom w:val="0"/>
      <w:divBdr>
        <w:top w:val="none" w:sz="0" w:space="0" w:color="auto"/>
        <w:left w:val="none" w:sz="0" w:space="0" w:color="auto"/>
        <w:bottom w:val="none" w:sz="0" w:space="0" w:color="auto"/>
        <w:right w:val="none" w:sz="0" w:space="0" w:color="auto"/>
      </w:divBdr>
      <w:divsChild>
        <w:div w:id="1412389838">
          <w:marLeft w:val="0"/>
          <w:marRight w:val="0"/>
          <w:marTop w:val="0"/>
          <w:marBottom w:val="0"/>
          <w:divBdr>
            <w:top w:val="none" w:sz="0" w:space="0" w:color="3D3D3D"/>
            <w:left w:val="none" w:sz="0" w:space="0" w:color="3D3D3D"/>
            <w:bottom w:val="none" w:sz="0" w:space="0" w:color="3D3D3D"/>
            <w:right w:val="none" w:sz="0" w:space="0" w:color="3D3D3D"/>
          </w:divBdr>
          <w:divsChild>
            <w:div w:id="15837597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8569905">
      <w:bodyDiv w:val="1"/>
      <w:marLeft w:val="0"/>
      <w:marRight w:val="0"/>
      <w:marTop w:val="0"/>
      <w:marBottom w:val="0"/>
      <w:divBdr>
        <w:top w:val="none" w:sz="0" w:space="0" w:color="auto"/>
        <w:left w:val="none" w:sz="0" w:space="0" w:color="auto"/>
        <w:bottom w:val="none" w:sz="0" w:space="0" w:color="auto"/>
        <w:right w:val="none" w:sz="0" w:space="0" w:color="auto"/>
      </w:divBdr>
    </w:div>
    <w:div w:id="572592434">
      <w:bodyDiv w:val="1"/>
      <w:marLeft w:val="0"/>
      <w:marRight w:val="0"/>
      <w:marTop w:val="0"/>
      <w:marBottom w:val="0"/>
      <w:divBdr>
        <w:top w:val="none" w:sz="0" w:space="0" w:color="auto"/>
        <w:left w:val="none" w:sz="0" w:space="0" w:color="auto"/>
        <w:bottom w:val="none" w:sz="0" w:space="0" w:color="auto"/>
        <w:right w:val="none" w:sz="0" w:space="0" w:color="auto"/>
      </w:divBdr>
      <w:divsChild>
        <w:div w:id="1293445465">
          <w:marLeft w:val="0"/>
          <w:marRight w:val="0"/>
          <w:marTop w:val="0"/>
          <w:marBottom w:val="0"/>
          <w:divBdr>
            <w:top w:val="none" w:sz="0" w:space="0" w:color="3D3D3D"/>
            <w:left w:val="none" w:sz="0" w:space="0" w:color="3D3D3D"/>
            <w:bottom w:val="none" w:sz="0" w:space="0" w:color="3D3D3D"/>
            <w:right w:val="none" w:sz="0" w:space="0" w:color="3D3D3D"/>
          </w:divBdr>
          <w:divsChild>
            <w:div w:id="15080598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2839200">
      <w:bodyDiv w:val="1"/>
      <w:marLeft w:val="0"/>
      <w:marRight w:val="0"/>
      <w:marTop w:val="0"/>
      <w:marBottom w:val="0"/>
      <w:divBdr>
        <w:top w:val="none" w:sz="0" w:space="0" w:color="auto"/>
        <w:left w:val="none" w:sz="0" w:space="0" w:color="auto"/>
        <w:bottom w:val="none" w:sz="0" w:space="0" w:color="auto"/>
        <w:right w:val="none" w:sz="0" w:space="0" w:color="auto"/>
      </w:divBdr>
      <w:divsChild>
        <w:div w:id="1207907312">
          <w:marLeft w:val="0"/>
          <w:marRight w:val="0"/>
          <w:marTop w:val="0"/>
          <w:marBottom w:val="0"/>
          <w:divBdr>
            <w:top w:val="none" w:sz="0" w:space="0" w:color="3D3D3D"/>
            <w:left w:val="none" w:sz="0" w:space="0" w:color="3D3D3D"/>
            <w:bottom w:val="none" w:sz="0" w:space="0" w:color="3D3D3D"/>
            <w:right w:val="none" w:sz="0" w:space="0" w:color="3D3D3D"/>
          </w:divBdr>
          <w:divsChild>
            <w:div w:id="18107803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9699408">
      <w:bodyDiv w:val="1"/>
      <w:marLeft w:val="0"/>
      <w:marRight w:val="0"/>
      <w:marTop w:val="0"/>
      <w:marBottom w:val="0"/>
      <w:divBdr>
        <w:top w:val="none" w:sz="0" w:space="0" w:color="auto"/>
        <w:left w:val="none" w:sz="0" w:space="0" w:color="auto"/>
        <w:bottom w:val="none" w:sz="0" w:space="0" w:color="auto"/>
        <w:right w:val="none" w:sz="0" w:space="0" w:color="auto"/>
      </w:divBdr>
    </w:div>
    <w:div w:id="631980907">
      <w:bodyDiv w:val="1"/>
      <w:marLeft w:val="0"/>
      <w:marRight w:val="0"/>
      <w:marTop w:val="0"/>
      <w:marBottom w:val="0"/>
      <w:divBdr>
        <w:top w:val="none" w:sz="0" w:space="0" w:color="auto"/>
        <w:left w:val="none" w:sz="0" w:space="0" w:color="auto"/>
        <w:bottom w:val="none" w:sz="0" w:space="0" w:color="auto"/>
        <w:right w:val="none" w:sz="0" w:space="0" w:color="auto"/>
      </w:divBdr>
      <w:divsChild>
        <w:div w:id="382408063">
          <w:marLeft w:val="0"/>
          <w:marRight w:val="0"/>
          <w:marTop w:val="0"/>
          <w:marBottom w:val="0"/>
          <w:divBdr>
            <w:top w:val="none" w:sz="0" w:space="0" w:color="3D3D3D"/>
            <w:left w:val="none" w:sz="0" w:space="0" w:color="3D3D3D"/>
            <w:bottom w:val="none" w:sz="0" w:space="0" w:color="3D3D3D"/>
            <w:right w:val="none" w:sz="0" w:space="0" w:color="3D3D3D"/>
          </w:divBdr>
          <w:divsChild>
            <w:div w:id="17771662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8948357">
      <w:bodyDiv w:val="1"/>
      <w:marLeft w:val="0"/>
      <w:marRight w:val="0"/>
      <w:marTop w:val="0"/>
      <w:marBottom w:val="0"/>
      <w:divBdr>
        <w:top w:val="none" w:sz="0" w:space="0" w:color="auto"/>
        <w:left w:val="none" w:sz="0" w:space="0" w:color="auto"/>
        <w:bottom w:val="none" w:sz="0" w:space="0" w:color="auto"/>
        <w:right w:val="none" w:sz="0" w:space="0" w:color="auto"/>
      </w:divBdr>
    </w:div>
    <w:div w:id="685785691">
      <w:bodyDiv w:val="1"/>
      <w:marLeft w:val="0"/>
      <w:marRight w:val="0"/>
      <w:marTop w:val="0"/>
      <w:marBottom w:val="0"/>
      <w:divBdr>
        <w:top w:val="none" w:sz="0" w:space="0" w:color="auto"/>
        <w:left w:val="none" w:sz="0" w:space="0" w:color="auto"/>
        <w:bottom w:val="none" w:sz="0" w:space="0" w:color="auto"/>
        <w:right w:val="none" w:sz="0" w:space="0" w:color="auto"/>
      </w:divBdr>
      <w:divsChild>
        <w:div w:id="441807834">
          <w:marLeft w:val="0"/>
          <w:marRight w:val="0"/>
          <w:marTop w:val="0"/>
          <w:marBottom w:val="0"/>
          <w:divBdr>
            <w:top w:val="none" w:sz="0" w:space="0" w:color="3D3D3D"/>
            <w:left w:val="none" w:sz="0" w:space="0" w:color="3D3D3D"/>
            <w:bottom w:val="none" w:sz="0" w:space="0" w:color="3D3D3D"/>
            <w:right w:val="none" w:sz="0" w:space="0" w:color="3D3D3D"/>
          </w:divBdr>
          <w:divsChild>
            <w:div w:id="20491405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93769507">
      <w:bodyDiv w:val="1"/>
      <w:marLeft w:val="0"/>
      <w:marRight w:val="0"/>
      <w:marTop w:val="0"/>
      <w:marBottom w:val="0"/>
      <w:divBdr>
        <w:top w:val="none" w:sz="0" w:space="0" w:color="auto"/>
        <w:left w:val="none" w:sz="0" w:space="0" w:color="auto"/>
        <w:bottom w:val="none" w:sz="0" w:space="0" w:color="auto"/>
        <w:right w:val="none" w:sz="0" w:space="0" w:color="auto"/>
      </w:divBdr>
    </w:div>
    <w:div w:id="751239418">
      <w:bodyDiv w:val="1"/>
      <w:marLeft w:val="0"/>
      <w:marRight w:val="0"/>
      <w:marTop w:val="0"/>
      <w:marBottom w:val="0"/>
      <w:divBdr>
        <w:top w:val="none" w:sz="0" w:space="0" w:color="auto"/>
        <w:left w:val="none" w:sz="0" w:space="0" w:color="auto"/>
        <w:bottom w:val="none" w:sz="0" w:space="0" w:color="auto"/>
        <w:right w:val="none" w:sz="0" w:space="0" w:color="auto"/>
      </w:divBdr>
    </w:div>
    <w:div w:id="760565263">
      <w:bodyDiv w:val="1"/>
      <w:marLeft w:val="0"/>
      <w:marRight w:val="0"/>
      <w:marTop w:val="0"/>
      <w:marBottom w:val="0"/>
      <w:divBdr>
        <w:top w:val="none" w:sz="0" w:space="0" w:color="auto"/>
        <w:left w:val="none" w:sz="0" w:space="0" w:color="auto"/>
        <w:bottom w:val="none" w:sz="0" w:space="0" w:color="auto"/>
        <w:right w:val="none" w:sz="0" w:space="0" w:color="auto"/>
      </w:divBdr>
    </w:div>
    <w:div w:id="769543754">
      <w:bodyDiv w:val="1"/>
      <w:marLeft w:val="0"/>
      <w:marRight w:val="0"/>
      <w:marTop w:val="0"/>
      <w:marBottom w:val="0"/>
      <w:divBdr>
        <w:top w:val="none" w:sz="0" w:space="0" w:color="auto"/>
        <w:left w:val="none" w:sz="0" w:space="0" w:color="auto"/>
        <w:bottom w:val="none" w:sz="0" w:space="0" w:color="auto"/>
        <w:right w:val="none" w:sz="0" w:space="0" w:color="auto"/>
      </w:divBdr>
    </w:div>
    <w:div w:id="779880363">
      <w:bodyDiv w:val="1"/>
      <w:marLeft w:val="0"/>
      <w:marRight w:val="0"/>
      <w:marTop w:val="0"/>
      <w:marBottom w:val="0"/>
      <w:divBdr>
        <w:top w:val="none" w:sz="0" w:space="0" w:color="auto"/>
        <w:left w:val="none" w:sz="0" w:space="0" w:color="auto"/>
        <w:bottom w:val="none" w:sz="0" w:space="0" w:color="auto"/>
        <w:right w:val="none" w:sz="0" w:space="0" w:color="auto"/>
      </w:divBdr>
    </w:div>
    <w:div w:id="790518843">
      <w:bodyDiv w:val="1"/>
      <w:marLeft w:val="0"/>
      <w:marRight w:val="0"/>
      <w:marTop w:val="0"/>
      <w:marBottom w:val="0"/>
      <w:divBdr>
        <w:top w:val="none" w:sz="0" w:space="0" w:color="auto"/>
        <w:left w:val="none" w:sz="0" w:space="0" w:color="auto"/>
        <w:bottom w:val="none" w:sz="0" w:space="0" w:color="auto"/>
        <w:right w:val="none" w:sz="0" w:space="0" w:color="auto"/>
      </w:divBdr>
    </w:div>
    <w:div w:id="799148178">
      <w:bodyDiv w:val="1"/>
      <w:marLeft w:val="0"/>
      <w:marRight w:val="0"/>
      <w:marTop w:val="0"/>
      <w:marBottom w:val="0"/>
      <w:divBdr>
        <w:top w:val="none" w:sz="0" w:space="0" w:color="auto"/>
        <w:left w:val="none" w:sz="0" w:space="0" w:color="auto"/>
        <w:bottom w:val="none" w:sz="0" w:space="0" w:color="auto"/>
        <w:right w:val="none" w:sz="0" w:space="0" w:color="auto"/>
      </w:divBdr>
      <w:divsChild>
        <w:div w:id="1676759425">
          <w:marLeft w:val="0"/>
          <w:marRight w:val="0"/>
          <w:marTop w:val="0"/>
          <w:marBottom w:val="0"/>
          <w:divBdr>
            <w:top w:val="none" w:sz="0" w:space="0" w:color="auto"/>
            <w:left w:val="none" w:sz="0" w:space="0" w:color="auto"/>
            <w:bottom w:val="none" w:sz="0" w:space="0" w:color="auto"/>
            <w:right w:val="none" w:sz="0" w:space="0" w:color="auto"/>
          </w:divBdr>
          <w:divsChild>
            <w:div w:id="1189947514">
              <w:marLeft w:val="0"/>
              <w:marRight w:val="0"/>
              <w:marTop w:val="0"/>
              <w:marBottom w:val="0"/>
              <w:divBdr>
                <w:top w:val="none" w:sz="0" w:space="0" w:color="auto"/>
                <w:left w:val="none" w:sz="0" w:space="0" w:color="auto"/>
                <w:bottom w:val="none" w:sz="0" w:space="0" w:color="auto"/>
                <w:right w:val="none" w:sz="0" w:space="0" w:color="auto"/>
              </w:divBdr>
              <w:divsChild>
                <w:div w:id="430664660">
                  <w:marLeft w:val="0"/>
                  <w:marRight w:val="0"/>
                  <w:marTop w:val="0"/>
                  <w:marBottom w:val="0"/>
                  <w:divBdr>
                    <w:top w:val="none" w:sz="0" w:space="0" w:color="auto"/>
                    <w:left w:val="none" w:sz="0" w:space="0" w:color="auto"/>
                    <w:bottom w:val="none" w:sz="0" w:space="0" w:color="auto"/>
                    <w:right w:val="none" w:sz="0" w:space="0" w:color="auto"/>
                  </w:divBdr>
                  <w:divsChild>
                    <w:div w:id="16737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0808">
          <w:marLeft w:val="0"/>
          <w:marRight w:val="0"/>
          <w:marTop w:val="0"/>
          <w:marBottom w:val="0"/>
          <w:divBdr>
            <w:top w:val="none" w:sz="0" w:space="0" w:color="auto"/>
            <w:left w:val="none" w:sz="0" w:space="0" w:color="auto"/>
            <w:bottom w:val="none" w:sz="0" w:space="0" w:color="auto"/>
            <w:right w:val="none" w:sz="0" w:space="0" w:color="auto"/>
          </w:divBdr>
          <w:divsChild>
            <w:div w:id="605892131">
              <w:marLeft w:val="0"/>
              <w:marRight w:val="0"/>
              <w:marTop w:val="0"/>
              <w:marBottom w:val="0"/>
              <w:divBdr>
                <w:top w:val="none" w:sz="0" w:space="0" w:color="auto"/>
                <w:left w:val="none" w:sz="0" w:space="0" w:color="auto"/>
                <w:bottom w:val="none" w:sz="0" w:space="0" w:color="auto"/>
                <w:right w:val="none" w:sz="0" w:space="0" w:color="auto"/>
              </w:divBdr>
              <w:divsChild>
                <w:div w:id="1691907795">
                  <w:marLeft w:val="0"/>
                  <w:marRight w:val="0"/>
                  <w:marTop w:val="0"/>
                  <w:marBottom w:val="0"/>
                  <w:divBdr>
                    <w:top w:val="none" w:sz="0" w:space="0" w:color="auto"/>
                    <w:left w:val="none" w:sz="0" w:space="0" w:color="auto"/>
                    <w:bottom w:val="none" w:sz="0" w:space="0" w:color="auto"/>
                    <w:right w:val="none" w:sz="0" w:space="0" w:color="auto"/>
                  </w:divBdr>
                  <w:divsChild>
                    <w:div w:id="19163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83014">
      <w:bodyDiv w:val="1"/>
      <w:marLeft w:val="0"/>
      <w:marRight w:val="0"/>
      <w:marTop w:val="0"/>
      <w:marBottom w:val="0"/>
      <w:divBdr>
        <w:top w:val="none" w:sz="0" w:space="0" w:color="auto"/>
        <w:left w:val="none" w:sz="0" w:space="0" w:color="auto"/>
        <w:bottom w:val="none" w:sz="0" w:space="0" w:color="auto"/>
        <w:right w:val="none" w:sz="0" w:space="0" w:color="auto"/>
      </w:divBdr>
    </w:div>
    <w:div w:id="878664015">
      <w:bodyDiv w:val="1"/>
      <w:marLeft w:val="0"/>
      <w:marRight w:val="0"/>
      <w:marTop w:val="0"/>
      <w:marBottom w:val="0"/>
      <w:divBdr>
        <w:top w:val="none" w:sz="0" w:space="0" w:color="auto"/>
        <w:left w:val="none" w:sz="0" w:space="0" w:color="auto"/>
        <w:bottom w:val="none" w:sz="0" w:space="0" w:color="auto"/>
        <w:right w:val="none" w:sz="0" w:space="0" w:color="auto"/>
      </w:divBdr>
      <w:divsChild>
        <w:div w:id="1131485497">
          <w:marLeft w:val="0"/>
          <w:marRight w:val="0"/>
          <w:marTop w:val="0"/>
          <w:marBottom w:val="0"/>
          <w:divBdr>
            <w:top w:val="none" w:sz="0" w:space="0" w:color="3D3D3D"/>
            <w:left w:val="none" w:sz="0" w:space="0" w:color="3D3D3D"/>
            <w:bottom w:val="none" w:sz="0" w:space="0" w:color="3D3D3D"/>
            <w:right w:val="none" w:sz="0" w:space="0" w:color="3D3D3D"/>
          </w:divBdr>
          <w:divsChild>
            <w:div w:id="9671994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1283432">
      <w:bodyDiv w:val="1"/>
      <w:marLeft w:val="0"/>
      <w:marRight w:val="0"/>
      <w:marTop w:val="0"/>
      <w:marBottom w:val="0"/>
      <w:divBdr>
        <w:top w:val="none" w:sz="0" w:space="0" w:color="auto"/>
        <w:left w:val="none" w:sz="0" w:space="0" w:color="auto"/>
        <w:bottom w:val="none" w:sz="0" w:space="0" w:color="auto"/>
        <w:right w:val="none" w:sz="0" w:space="0" w:color="auto"/>
      </w:divBdr>
      <w:divsChild>
        <w:div w:id="493647421">
          <w:marLeft w:val="0"/>
          <w:marRight w:val="0"/>
          <w:marTop w:val="0"/>
          <w:marBottom w:val="0"/>
          <w:divBdr>
            <w:top w:val="none" w:sz="0" w:space="0" w:color="3D3D3D"/>
            <w:left w:val="none" w:sz="0" w:space="0" w:color="3D3D3D"/>
            <w:bottom w:val="none" w:sz="0" w:space="0" w:color="3D3D3D"/>
            <w:right w:val="none" w:sz="0" w:space="0" w:color="3D3D3D"/>
          </w:divBdr>
          <w:divsChild>
            <w:div w:id="14625035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3368561">
      <w:bodyDiv w:val="1"/>
      <w:marLeft w:val="0"/>
      <w:marRight w:val="0"/>
      <w:marTop w:val="0"/>
      <w:marBottom w:val="0"/>
      <w:divBdr>
        <w:top w:val="none" w:sz="0" w:space="0" w:color="auto"/>
        <w:left w:val="none" w:sz="0" w:space="0" w:color="auto"/>
        <w:bottom w:val="none" w:sz="0" w:space="0" w:color="auto"/>
        <w:right w:val="none" w:sz="0" w:space="0" w:color="auto"/>
      </w:divBdr>
      <w:divsChild>
        <w:div w:id="1862082377">
          <w:marLeft w:val="0"/>
          <w:marRight w:val="0"/>
          <w:marTop w:val="0"/>
          <w:marBottom w:val="0"/>
          <w:divBdr>
            <w:top w:val="none" w:sz="0" w:space="0" w:color="3D3D3D"/>
            <w:left w:val="none" w:sz="0" w:space="0" w:color="3D3D3D"/>
            <w:bottom w:val="none" w:sz="0" w:space="0" w:color="3D3D3D"/>
            <w:right w:val="none" w:sz="0" w:space="0" w:color="3D3D3D"/>
          </w:divBdr>
          <w:divsChild>
            <w:div w:id="1279419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9385264">
      <w:bodyDiv w:val="1"/>
      <w:marLeft w:val="0"/>
      <w:marRight w:val="0"/>
      <w:marTop w:val="0"/>
      <w:marBottom w:val="0"/>
      <w:divBdr>
        <w:top w:val="none" w:sz="0" w:space="0" w:color="auto"/>
        <w:left w:val="none" w:sz="0" w:space="0" w:color="auto"/>
        <w:bottom w:val="none" w:sz="0" w:space="0" w:color="auto"/>
        <w:right w:val="none" w:sz="0" w:space="0" w:color="auto"/>
      </w:divBdr>
    </w:div>
    <w:div w:id="917447791">
      <w:bodyDiv w:val="1"/>
      <w:marLeft w:val="0"/>
      <w:marRight w:val="0"/>
      <w:marTop w:val="0"/>
      <w:marBottom w:val="0"/>
      <w:divBdr>
        <w:top w:val="none" w:sz="0" w:space="0" w:color="auto"/>
        <w:left w:val="none" w:sz="0" w:space="0" w:color="auto"/>
        <w:bottom w:val="none" w:sz="0" w:space="0" w:color="auto"/>
        <w:right w:val="none" w:sz="0" w:space="0" w:color="auto"/>
      </w:divBdr>
      <w:divsChild>
        <w:div w:id="434523696">
          <w:marLeft w:val="0"/>
          <w:marRight w:val="0"/>
          <w:marTop w:val="0"/>
          <w:marBottom w:val="0"/>
          <w:divBdr>
            <w:top w:val="none" w:sz="0" w:space="0" w:color="3D3D3D"/>
            <w:left w:val="none" w:sz="0" w:space="0" w:color="3D3D3D"/>
            <w:bottom w:val="none" w:sz="0" w:space="0" w:color="3D3D3D"/>
            <w:right w:val="none" w:sz="0" w:space="0" w:color="3D3D3D"/>
          </w:divBdr>
          <w:divsChild>
            <w:div w:id="9696311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7828840">
      <w:bodyDiv w:val="1"/>
      <w:marLeft w:val="0"/>
      <w:marRight w:val="0"/>
      <w:marTop w:val="0"/>
      <w:marBottom w:val="0"/>
      <w:divBdr>
        <w:top w:val="none" w:sz="0" w:space="0" w:color="auto"/>
        <w:left w:val="none" w:sz="0" w:space="0" w:color="auto"/>
        <w:bottom w:val="none" w:sz="0" w:space="0" w:color="auto"/>
        <w:right w:val="none" w:sz="0" w:space="0" w:color="auto"/>
      </w:divBdr>
      <w:divsChild>
        <w:div w:id="495799947">
          <w:marLeft w:val="0"/>
          <w:marRight w:val="0"/>
          <w:marTop w:val="0"/>
          <w:marBottom w:val="0"/>
          <w:divBdr>
            <w:top w:val="none" w:sz="0" w:space="0" w:color="auto"/>
            <w:left w:val="none" w:sz="0" w:space="0" w:color="auto"/>
            <w:bottom w:val="none" w:sz="0" w:space="0" w:color="auto"/>
            <w:right w:val="none" w:sz="0" w:space="0" w:color="auto"/>
          </w:divBdr>
          <w:divsChild>
            <w:div w:id="114300497">
              <w:marLeft w:val="0"/>
              <w:marRight w:val="0"/>
              <w:marTop w:val="0"/>
              <w:marBottom w:val="0"/>
              <w:divBdr>
                <w:top w:val="none" w:sz="0" w:space="0" w:color="auto"/>
                <w:left w:val="none" w:sz="0" w:space="0" w:color="auto"/>
                <w:bottom w:val="none" w:sz="0" w:space="0" w:color="auto"/>
                <w:right w:val="none" w:sz="0" w:space="0" w:color="auto"/>
              </w:divBdr>
              <w:divsChild>
                <w:div w:id="1284650088">
                  <w:marLeft w:val="0"/>
                  <w:marRight w:val="0"/>
                  <w:marTop w:val="0"/>
                  <w:marBottom w:val="0"/>
                  <w:divBdr>
                    <w:top w:val="none" w:sz="0" w:space="0" w:color="auto"/>
                    <w:left w:val="none" w:sz="0" w:space="0" w:color="auto"/>
                    <w:bottom w:val="none" w:sz="0" w:space="0" w:color="auto"/>
                    <w:right w:val="none" w:sz="0" w:space="0" w:color="auto"/>
                  </w:divBdr>
                  <w:divsChild>
                    <w:div w:id="9175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11864">
          <w:marLeft w:val="0"/>
          <w:marRight w:val="0"/>
          <w:marTop w:val="0"/>
          <w:marBottom w:val="0"/>
          <w:divBdr>
            <w:top w:val="none" w:sz="0" w:space="0" w:color="auto"/>
            <w:left w:val="none" w:sz="0" w:space="0" w:color="auto"/>
            <w:bottom w:val="none" w:sz="0" w:space="0" w:color="auto"/>
            <w:right w:val="none" w:sz="0" w:space="0" w:color="auto"/>
          </w:divBdr>
          <w:divsChild>
            <w:div w:id="157692566">
              <w:marLeft w:val="0"/>
              <w:marRight w:val="0"/>
              <w:marTop w:val="0"/>
              <w:marBottom w:val="0"/>
              <w:divBdr>
                <w:top w:val="none" w:sz="0" w:space="0" w:color="auto"/>
                <w:left w:val="none" w:sz="0" w:space="0" w:color="auto"/>
                <w:bottom w:val="none" w:sz="0" w:space="0" w:color="auto"/>
                <w:right w:val="none" w:sz="0" w:space="0" w:color="auto"/>
              </w:divBdr>
              <w:divsChild>
                <w:div w:id="1323848219">
                  <w:marLeft w:val="0"/>
                  <w:marRight w:val="0"/>
                  <w:marTop w:val="0"/>
                  <w:marBottom w:val="0"/>
                  <w:divBdr>
                    <w:top w:val="none" w:sz="0" w:space="0" w:color="auto"/>
                    <w:left w:val="none" w:sz="0" w:space="0" w:color="auto"/>
                    <w:bottom w:val="none" w:sz="0" w:space="0" w:color="auto"/>
                    <w:right w:val="none" w:sz="0" w:space="0" w:color="auto"/>
                  </w:divBdr>
                  <w:divsChild>
                    <w:div w:id="12637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81215">
      <w:bodyDiv w:val="1"/>
      <w:marLeft w:val="0"/>
      <w:marRight w:val="0"/>
      <w:marTop w:val="0"/>
      <w:marBottom w:val="0"/>
      <w:divBdr>
        <w:top w:val="none" w:sz="0" w:space="0" w:color="auto"/>
        <w:left w:val="none" w:sz="0" w:space="0" w:color="auto"/>
        <w:bottom w:val="none" w:sz="0" w:space="0" w:color="auto"/>
        <w:right w:val="none" w:sz="0" w:space="0" w:color="auto"/>
      </w:divBdr>
    </w:div>
    <w:div w:id="954018695">
      <w:bodyDiv w:val="1"/>
      <w:marLeft w:val="0"/>
      <w:marRight w:val="0"/>
      <w:marTop w:val="0"/>
      <w:marBottom w:val="0"/>
      <w:divBdr>
        <w:top w:val="none" w:sz="0" w:space="0" w:color="auto"/>
        <w:left w:val="none" w:sz="0" w:space="0" w:color="auto"/>
        <w:bottom w:val="none" w:sz="0" w:space="0" w:color="auto"/>
        <w:right w:val="none" w:sz="0" w:space="0" w:color="auto"/>
      </w:divBdr>
      <w:divsChild>
        <w:div w:id="2004619390">
          <w:marLeft w:val="0"/>
          <w:marRight w:val="0"/>
          <w:marTop w:val="0"/>
          <w:marBottom w:val="0"/>
          <w:divBdr>
            <w:top w:val="none" w:sz="0" w:space="0" w:color="3D3D3D"/>
            <w:left w:val="none" w:sz="0" w:space="0" w:color="3D3D3D"/>
            <w:bottom w:val="none" w:sz="0" w:space="0" w:color="3D3D3D"/>
            <w:right w:val="none" w:sz="0" w:space="0" w:color="3D3D3D"/>
          </w:divBdr>
          <w:divsChild>
            <w:div w:id="6180723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5138988">
      <w:bodyDiv w:val="1"/>
      <w:marLeft w:val="0"/>
      <w:marRight w:val="0"/>
      <w:marTop w:val="0"/>
      <w:marBottom w:val="0"/>
      <w:divBdr>
        <w:top w:val="none" w:sz="0" w:space="0" w:color="auto"/>
        <w:left w:val="none" w:sz="0" w:space="0" w:color="auto"/>
        <w:bottom w:val="none" w:sz="0" w:space="0" w:color="auto"/>
        <w:right w:val="none" w:sz="0" w:space="0" w:color="auto"/>
      </w:divBdr>
    </w:div>
    <w:div w:id="1042630365">
      <w:bodyDiv w:val="1"/>
      <w:marLeft w:val="0"/>
      <w:marRight w:val="0"/>
      <w:marTop w:val="0"/>
      <w:marBottom w:val="0"/>
      <w:divBdr>
        <w:top w:val="none" w:sz="0" w:space="0" w:color="auto"/>
        <w:left w:val="none" w:sz="0" w:space="0" w:color="auto"/>
        <w:bottom w:val="none" w:sz="0" w:space="0" w:color="auto"/>
        <w:right w:val="none" w:sz="0" w:space="0" w:color="auto"/>
      </w:divBdr>
    </w:div>
    <w:div w:id="1085230588">
      <w:bodyDiv w:val="1"/>
      <w:marLeft w:val="0"/>
      <w:marRight w:val="0"/>
      <w:marTop w:val="0"/>
      <w:marBottom w:val="0"/>
      <w:divBdr>
        <w:top w:val="none" w:sz="0" w:space="0" w:color="auto"/>
        <w:left w:val="none" w:sz="0" w:space="0" w:color="auto"/>
        <w:bottom w:val="none" w:sz="0" w:space="0" w:color="auto"/>
        <w:right w:val="none" w:sz="0" w:space="0" w:color="auto"/>
      </w:divBdr>
      <w:divsChild>
        <w:div w:id="804003874">
          <w:marLeft w:val="0"/>
          <w:marRight w:val="0"/>
          <w:marTop w:val="0"/>
          <w:marBottom w:val="0"/>
          <w:divBdr>
            <w:top w:val="none" w:sz="0" w:space="0" w:color="212121"/>
            <w:left w:val="none" w:sz="0" w:space="0" w:color="212121"/>
            <w:bottom w:val="none" w:sz="0" w:space="0" w:color="212121"/>
            <w:right w:val="none" w:sz="0" w:space="0" w:color="212121"/>
          </w:divBdr>
          <w:divsChild>
            <w:div w:id="166909755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095521098">
      <w:bodyDiv w:val="1"/>
      <w:marLeft w:val="0"/>
      <w:marRight w:val="0"/>
      <w:marTop w:val="0"/>
      <w:marBottom w:val="0"/>
      <w:divBdr>
        <w:top w:val="none" w:sz="0" w:space="0" w:color="auto"/>
        <w:left w:val="none" w:sz="0" w:space="0" w:color="auto"/>
        <w:bottom w:val="none" w:sz="0" w:space="0" w:color="auto"/>
        <w:right w:val="none" w:sz="0" w:space="0" w:color="auto"/>
      </w:divBdr>
      <w:divsChild>
        <w:div w:id="635069672">
          <w:marLeft w:val="0"/>
          <w:marRight w:val="0"/>
          <w:marTop w:val="0"/>
          <w:marBottom w:val="0"/>
          <w:divBdr>
            <w:top w:val="none" w:sz="0" w:space="0" w:color="3D3D3D"/>
            <w:left w:val="none" w:sz="0" w:space="0" w:color="3D3D3D"/>
            <w:bottom w:val="none" w:sz="0" w:space="0" w:color="3D3D3D"/>
            <w:right w:val="none" w:sz="0" w:space="0" w:color="3D3D3D"/>
          </w:divBdr>
          <w:divsChild>
            <w:div w:id="8876918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46777388">
      <w:bodyDiv w:val="1"/>
      <w:marLeft w:val="0"/>
      <w:marRight w:val="0"/>
      <w:marTop w:val="0"/>
      <w:marBottom w:val="0"/>
      <w:divBdr>
        <w:top w:val="none" w:sz="0" w:space="0" w:color="auto"/>
        <w:left w:val="none" w:sz="0" w:space="0" w:color="auto"/>
        <w:bottom w:val="none" w:sz="0" w:space="0" w:color="auto"/>
        <w:right w:val="none" w:sz="0" w:space="0" w:color="auto"/>
      </w:divBdr>
      <w:divsChild>
        <w:div w:id="202250163">
          <w:marLeft w:val="0"/>
          <w:marRight w:val="0"/>
          <w:marTop w:val="0"/>
          <w:marBottom w:val="0"/>
          <w:divBdr>
            <w:top w:val="none" w:sz="0" w:space="0" w:color="3D3D3D"/>
            <w:left w:val="none" w:sz="0" w:space="0" w:color="3D3D3D"/>
            <w:bottom w:val="none" w:sz="0" w:space="0" w:color="3D3D3D"/>
            <w:right w:val="none" w:sz="0" w:space="0" w:color="3D3D3D"/>
          </w:divBdr>
          <w:divsChild>
            <w:div w:id="7215612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9493614">
      <w:bodyDiv w:val="1"/>
      <w:marLeft w:val="0"/>
      <w:marRight w:val="0"/>
      <w:marTop w:val="0"/>
      <w:marBottom w:val="0"/>
      <w:divBdr>
        <w:top w:val="none" w:sz="0" w:space="0" w:color="auto"/>
        <w:left w:val="none" w:sz="0" w:space="0" w:color="auto"/>
        <w:bottom w:val="none" w:sz="0" w:space="0" w:color="auto"/>
        <w:right w:val="none" w:sz="0" w:space="0" w:color="auto"/>
      </w:divBdr>
      <w:divsChild>
        <w:div w:id="1295989746">
          <w:marLeft w:val="0"/>
          <w:marRight w:val="0"/>
          <w:marTop w:val="0"/>
          <w:marBottom w:val="0"/>
          <w:divBdr>
            <w:top w:val="none" w:sz="0" w:space="0" w:color="3D3D3D"/>
            <w:left w:val="none" w:sz="0" w:space="0" w:color="3D3D3D"/>
            <w:bottom w:val="none" w:sz="0" w:space="0" w:color="3D3D3D"/>
            <w:right w:val="none" w:sz="0" w:space="0" w:color="3D3D3D"/>
          </w:divBdr>
          <w:divsChild>
            <w:div w:id="1552308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9543974">
      <w:bodyDiv w:val="1"/>
      <w:marLeft w:val="0"/>
      <w:marRight w:val="0"/>
      <w:marTop w:val="0"/>
      <w:marBottom w:val="0"/>
      <w:divBdr>
        <w:top w:val="none" w:sz="0" w:space="0" w:color="auto"/>
        <w:left w:val="none" w:sz="0" w:space="0" w:color="auto"/>
        <w:bottom w:val="none" w:sz="0" w:space="0" w:color="auto"/>
        <w:right w:val="none" w:sz="0" w:space="0" w:color="auto"/>
      </w:divBdr>
    </w:div>
    <w:div w:id="1170413745">
      <w:bodyDiv w:val="1"/>
      <w:marLeft w:val="0"/>
      <w:marRight w:val="0"/>
      <w:marTop w:val="0"/>
      <w:marBottom w:val="0"/>
      <w:divBdr>
        <w:top w:val="none" w:sz="0" w:space="0" w:color="auto"/>
        <w:left w:val="none" w:sz="0" w:space="0" w:color="auto"/>
        <w:bottom w:val="none" w:sz="0" w:space="0" w:color="auto"/>
        <w:right w:val="none" w:sz="0" w:space="0" w:color="auto"/>
      </w:divBdr>
      <w:divsChild>
        <w:div w:id="121536469">
          <w:marLeft w:val="0"/>
          <w:marRight w:val="0"/>
          <w:marTop w:val="0"/>
          <w:marBottom w:val="0"/>
          <w:divBdr>
            <w:top w:val="none" w:sz="0" w:space="0" w:color="3D3D3D"/>
            <w:left w:val="none" w:sz="0" w:space="0" w:color="3D3D3D"/>
            <w:bottom w:val="none" w:sz="0" w:space="0" w:color="3D3D3D"/>
            <w:right w:val="none" w:sz="0" w:space="0" w:color="3D3D3D"/>
          </w:divBdr>
          <w:divsChild>
            <w:div w:id="13265877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04245657">
      <w:bodyDiv w:val="1"/>
      <w:marLeft w:val="0"/>
      <w:marRight w:val="0"/>
      <w:marTop w:val="0"/>
      <w:marBottom w:val="0"/>
      <w:divBdr>
        <w:top w:val="none" w:sz="0" w:space="0" w:color="auto"/>
        <w:left w:val="none" w:sz="0" w:space="0" w:color="auto"/>
        <w:bottom w:val="none" w:sz="0" w:space="0" w:color="auto"/>
        <w:right w:val="none" w:sz="0" w:space="0" w:color="auto"/>
      </w:divBdr>
    </w:div>
    <w:div w:id="1246526399">
      <w:bodyDiv w:val="1"/>
      <w:marLeft w:val="0"/>
      <w:marRight w:val="0"/>
      <w:marTop w:val="0"/>
      <w:marBottom w:val="0"/>
      <w:divBdr>
        <w:top w:val="none" w:sz="0" w:space="0" w:color="auto"/>
        <w:left w:val="none" w:sz="0" w:space="0" w:color="auto"/>
        <w:bottom w:val="none" w:sz="0" w:space="0" w:color="auto"/>
        <w:right w:val="none" w:sz="0" w:space="0" w:color="auto"/>
      </w:divBdr>
    </w:div>
    <w:div w:id="1247808804">
      <w:bodyDiv w:val="1"/>
      <w:marLeft w:val="0"/>
      <w:marRight w:val="0"/>
      <w:marTop w:val="0"/>
      <w:marBottom w:val="0"/>
      <w:divBdr>
        <w:top w:val="none" w:sz="0" w:space="0" w:color="auto"/>
        <w:left w:val="none" w:sz="0" w:space="0" w:color="auto"/>
        <w:bottom w:val="none" w:sz="0" w:space="0" w:color="auto"/>
        <w:right w:val="none" w:sz="0" w:space="0" w:color="auto"/>
      </w:divBdr>
    </w:div>
    <w:div w:id="1256789161">
      <w:bodyDiv w:val="1"/>
      <w:marLeft w:val="0"/>
      <w:marRight w:val="0"/>
      <w:marTop w:val="0"/>
      <w:marBottom w:val="0"/>
      <w:divBdr>
        <w:top w:val="none" w:sz="0" w:space="0" w:color="auto"/>
        <w:left w:val="none" w:sz="0" w:space="0" w:color="auto"/>
        <w:bottom w:val="none" w:sz="0" w:space="0" w:color="auto"/>
        <w:right w:val="none" w:sz="0" w:space="0" w:color="auto"/>
      </w:divBdr>
    </w:div>
    <w:div w:id="1272543285">
      <w:bodyDiv w:val="1"/>
      <w:marLeft w:val="0"/>
      <w:marRight w:val="0"/>
      <w:marTop w:val="0"/>
      <w:marBottom w:val="0"/>
      <w:divBdr>
        <w:top w:val="none" w:sz="0" w:space="0" w:color="auto"/>
        <w:left w:val="none" w:sz="0" w:space="0" w:color="auto"/>
        <w:bottom w:val="none" w:sz="0" w:space="0" w:color="auto"/>
        <w:right w:val="none" w:sz="0" w:space="0" w:color="auto"/>
      </w:divBdr>
      <w:divsChild>
        <w:div w:id="627473148">
          <w:marLeft w:val="0"/>
          <w:marRight w:val="0"/>
          <w:marTop w:val="0"/>
          <w:marBottom w:val="0"/>
          <w:divBdr>
            <w:top w:val="none" w:sz="0" w:space="0" w:color="3D3D3D"/>
            <w:left w:val="none" w:sz="0" w:space="0" w:color="3D3D3D"/>
            <w:bottom w:val="none" w:sz="0" w:space="0" w:color="3D3D3D"/>
            <w:right w:val="none" w:sz="0" w:space="0" w:color="3D3D3D"/>
          </w:divBdr>
          <w:divsChild>
            <w:div w:id="7154696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4534921">
      <w:bodyDiv w:val="1"/>
      <w:marLeft w:val="0"/>
      <w:marRight w:val="0"/>
      <w:marTop w:val="0"/>
      <w:marBottom w:val="0"/>
      <w:divBdr>
        <w:top w:val="none" w:sz="0" w:space="0" w:color="auto"/>
        <w:left w:val="none" w:sz="0" w:space="0" w:color="auto"/>
        <w:bottom w:val="none" w:sz="0" w:space="0" w:color="auto"/>
        <w:right w:val="none" w:sz="0" w:space="0" w:color="auto"/>
      </w:divBdr>
      <w:divsChild>
        <w:div w:id="69154194">
          <w:marLeft w:val="0"/>
          <w:marRight w:val="0"/>
          <w:marTop w:val="0"/>
          <w:marBottom w:val="0"/>
          <w:divBdr>
            <w:top w:val="none" w:sz="0" w:space="0" w:color="3D3D3D"/>
            <w:left w:val="none" w:sz="0" w:space="0" w:color="3D3D3D"/>
            <w:bottom w:val="none" w:sz="0" w:space="0" w:color="3D3D3D"/>
            <w:right w:val="none" w:sz="0" w:space="0" w:color="3D3D3D"/>
          </w:divBdr>
          <w:divsChild>
            <w:div w:id="20878047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3071994">
      <w:bodyDiv w:val="1"/>
      <w:marLeft w:val="0"/>
      <w:marRight w:val="0"/>
      <w:marTop w:val="0"/>
      <w:marBottom w:val="0"/>
      <w:divBdr>
        <w:top w:val="none" w:sz="0" w:space="0" w:color="auto"/>
        <w:left w:val="none" w:sz="0" w:space="0" w:color="auto"/>
        <w:bottom w:val="none" w:sz="0" w:space="0" w:color="auto"/>
        <w:right w:val="none" w:sz="0" w:space="0" w:color="auto"/>
      </w:divBdr>
      <w:divsChild>
        <w:div w:id="1237089871">
          <w:marLeft w:val="0"/>
          <w:marRight w:val="0"/>
          <w:marTop w:val="0"/>
          <w:marBottom w:val="0"/>
          <w:divBdr>
            <w:top w:val="none" w:sz="0" w:space="0" w:color="3D3D3D"/>
            <w:left w:val="none" w:sz="0" w:space="0" w:color="3D3D3D"/>
            <w:bottom w:val="none" w:sz="0" w:space="0" w:color="3D3D3D"/>
            <w:right w:val="none" w:sz="0" w:space="0" w:color="3D3D3D"/>
          </w:divBdr>
          <w:divsChild>
            <w:div w:id="15569674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1055183">
      <w:bodyDiv w:val="1"/>
      <w:marLeft w:val="0"/>
      <w:marRight w:val="0"/>
      <w:marTop w:val="0"/>
      <w:marBottom w:val="0"/>
      <w:divBdr>
        <w:top w:val="none" w:sz="0" w:space="0" w:color="auto"/>
        <w:left w:val="none" w:sz="0" w:space="0" w:color="auto"/>
        <w:bottom w:val="none" w:sz="0" w:space="0" w:color="auto"/>
        <w:right w:val="none" w:sz="0" w:space="0" w:color="auto"/>
      </w:divBdr>
    </w:div>
    <w:div w:id="1312057893">
      <w:bodyDiv w:val="1"/>
      <w:marLeft w:val="0"/>
      <w:marRight w:val="0"/>
      <w:marTop w:val="0"/>
      <w:marBottom w:val="0"/>
      <w:divBdr>
        <w:top w:val="none" w:sz="0" w:space="0" w:color="auto"/>
        <w:left w:val="none" w:sz="0" w:space="0" w:color="auto"/>
        <w:bottom w:val="none" w:sz="0" w:space="0" w:color="auto"/>
        <w:right w:val="none" w:sz="0" w:space="0" w:color="auto"/>
      </w:divBdr>
      <w:divsChild>
        <w:div w:id="376588988">
          <w:marLeft w:val="0"/>
          <w:marRight w:val="0"/>
          <w:marTop w:val="0"/>
          <w:marBottom w:val="0"/>
          <w:divBdr>
            <w:top w:val="none" w:sz="0" w:space="0" w:color="auto"/>
            <w:left w:val="none" w:sz="0" w:space="0" w:color="auto"/>
            <w:bottom w:val="none" w:sz="0" w:space="0" w:color="auto"/>
            <w:right w:val="none" w:sz="0" w:space="0" w:color="auto"/>
          </w:divBdr>
          <w:divsChild>
            <w:div w:id="1654601389">
              <w:marLeft w:val="0"/>
              <w:marRight w:val="0"/>
              <w:marTop w:val="0"/>
              <w:marBottom w:val="0"/>
              <w:divBdr>
                <w:top w:val="none" w:sz="0" w:space="0" w:color="auto"/>
                <w:left w:val="none" w:sz="0" w:space="0" w:color="auto"/>
                <w:bottom w:val="none" w:sz="0" w:space="0" w:color="auto"/>
                <w:right w:val="none" w:sz="0" w:space="0" w:color="auto"/>
              </w:divBdr>
              <w:divsChild>
                <w:div w:id="944112306">
                  <w:marLeft w:val="0"/>
                  <w:marRight w:val="0"/>
                  <w:marTop w:val="0"/>
                  <w:marBottom w:val="0"/>
                  <w:divBdr>
                    <w:top w:val="none" w:sz="0" w:space="0" w:color="auto"/>
                    <w:left w:val="none" w:sz="0" w:space="0" w:color="auto"/>
                    <w:bottom w:val="none" w:sz="0" w:space="0" w:color="auto"/>
                    <w:right w:val="none" w:sz="0" w:space="0" w:color="auto"/>
                  </w:divBdr>
                  <w:divsChild>
                    <w:div w:id="14244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82140">
          <w:marLeft w:val="0"/>
          <w:marRight w:val="0"/>
          <w:marTop w:val="0"/>
          <w:marBottom w:val="0"/>
          <w:divBdr>
            <w:top w:val="none" w:sz="0" w:space="0" w:color="auto"/>
            <w:left w:val="none" w:sz="0" w:space="0" w:color="auto"/>
            <w:bottom w:val="none" w:sz="0" w:space="0" w:color="auto"/>
            <w:right w:val="none" w:sz="0" w:space="0" w:color="auto"/>
          </w:divBdr>
          <w:divsChild>
            <w:div w:id="630093597">
              <w:marLeft w:val="0"/>
              <w:marRight w:val="0"/>
              <w:marTop w:val="0"/>
              <w:marBottom w:val="0"/>
              <w:divBdr>
                <w:top w:val="none" w:sz="0" w:space="0" w:color="auto"/>
                <w:left w:val="none" w:sz="0" w:space="0" w:color="auto"/>
                <w:bottom w:val="none" w:sz="0" w:space="0" w:color="auto"/>
                <w:right w:val="none" w:sz="0" w:space="0" w:color="auto"/>
              </w:divBdr>
              <w:divsChild>
                <w:div w:id="368917292">
                  <w:marLeft w:val="0"/>
                  <w:marRight w:val="0"/>
                  <w:marTop w:val="0"/>
                  <w:marBottom w:val="0"/>
                  <w:divBdr>
                    <w:top w:val="none" w:sz="0" w:space="0" w:color="auto"/>
                    <w:left w:val="none" w:sz="0" w:space="0" w:color="auto"/>
                    <w:bottom w:val="none" w:sz="0" w:space="0" w:color="auto"/>
                    <w:right w:val="none" w:sz="0" w:space="0" w:color="auto"/>
                  </w:divBdr>
                  <w:divsChild>
                    <w:div w:id="615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67440">
      <w:bodyDiv w:val="1"/>
      <w:marLeft w:val="0"/>
      <w:marRight w:val="0"/>
      <w:marTop w:val="0"/>
      <w:marBottom w:val="0"/>
      <w:divBdr>
        <w:top w:val="none" w:sz="0" w:space="0" w:color="auto"/>
        <w:left w:val="none" w:sz="0" w:space="0" w:color="auto"/>
        <w:bottom w:val="none" w:sz="0" w:space="0" w:color="auto"/>
        <w:right w:val="none" w:sz="0" w:space="0" w:color="auto"/>
      </w:divBdr>
      <w:divsChild>
        <w:div w:id="595136722">
          <w:marLeft w:val="0"/>
          <w:marRight w:val="0"/>
          <w:marTop w:val="0"/>
          <w:marBottom w:val="0"/>
          <w:divBdr>
            <w:top w:val="none" w:sz="0" w:space="0" w:color="212121"/>
            <w:left w:val="none" w:sz="0" w:space="0" w:color="212121"/>
            <w:bottom w:val="none" w:sz="0" w:space="0" w:color="212121"/>
            <w:right w:val="none" w:sz="0" w:space="0" w:color="212121"/>
          </w:divBdr>
          <w:divsChild>
            <w:div w:id="586429885">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397699695">
      <w:bodyDiv w:val="1"/>
      <w:marLeft w:val="0"/>
      <w:marRight w:val="0"/>
      <w:marTop w:val="0"/>
      <w:marBottom w:val="0"/>
      <w:divBdr>
        <w:top w:val="none" w:sz="0" w:space="0" w:color="auto"/>
        <w:left w:val="none" w:sz="0" w:space="0" w:color="auto"/>
        <w:bottom w:val="none" w:sz="0" w:space="0" w:color="auto"/>
        <w:right w:val="none" w:sz="0" w:space="0" w:color="auto"/>
      </w:divBdr>
    </w:div>
    <w:div w:id="1447309581">
      <w:bodyDiv w:val="1"/>
      <w:marLeft w:val="0"/>
      <w:marRight w:val="0"/>
      <w:marTop w:val="0"/>
      <w:marBottom w:val="0"/>
      <w:divBdr>
        <w:top w:val="none" w:sz="0" w:space="0" w:color="auto"/>
        <w:left w:val="none" w:sz="0" w:space="0" w:color="auto"/>
        <w:bottom w:val="none" w:sz="0" w:space="0" w:color="auto"/>
        <w:right w:val="none" w:sz="0" w:space="0" w:color="auto"/>
      </w:divBdr>
    </w:div>
    <w:div w:id="1448351579">
      <w:bodyDiv w:val="1"/>
      <w:marLeft w:val="0"/>
      <w:marRight w:val="0"/>
      <w:marTop w:val="0"/>
      <w:marBottom w:val="0"/>
      <w:divBdr>
        <w:top w:val="none" w:sz="0" w:space="0" w:color="auto"/>
        <w:left w:val="none" w:sz="0" w:space="0" w:color="auto"/>
        <w:bottom w:val="none" w:sz="0" w:space="0" w:color="auto"/>
        <w:right w:val="none" w:sz="0" w:space="0" w:color="auto"/>
      </w:divBdr>
      <w:divsChild>
        <w:div w:id="1555047816">
          <w:marLeft w:val="0"/>
          <w:marRight w:val="0"/>
          <w:marTop w:val="0"/>
          <w:marBottom w:val="0"/>
          <w:divBdr>
            <w:top w:val="none" w:sz="0" w:space="0" w:color="212121"/>
            <w:left w:val="none" w:sz="0" w:space="0" w:color="212121"/>
            <w:bottom w:val="none" w:sz="0" w:space="0" w:color="212121"/>
            <w:right w:val="none" w:sz="0" w:space="0" w:color="212121"/>
          </w:divBdr>
          <w:divsChild>
            <w:div w:id="30100704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473602065">
      <w:bodyDiv w:val="1"/>
      <w:marLeft w:val="0"/>
      <w:marRight w:val="0"/>
      <w:marTop w:val="0"/>
      <w:marBottom w:val="0"/>
      <w:divBdr>
        <w:top w:val="none" w:sz="0" w:space="0" w:color="auto"/>
        <w:left w:val="none" w:sz="0" w:space="0" w:color="auto"/>
        <w:bottom w:val="none" w:sz="0" w:space="0" w:color="auto"/>
        <w:right w:val="none" w:sz="0" w:space="0" w:color="auto"/>
      </w:divBdr>
      <w:divsChild>
        <w:div w:id="5447514">
          <w:marLeft w:val="0"/>
          <w:marRight w:val="0"/>
          <w:marTop w:val="0"/>
          <w:marBottom w:val="0"/>
          <w:divBdr>
            <w:top w:val="none" w:sz="0" w:space="0" w:color="3D3D3D"/>
            <w:left w:val="none" w:sz="0" w:space="0" w:color="3D3D3D"/>
            <w:bottom w:val="none" w:sz="0" w:space="0" w:color="3D3D3D"/>
            <w:right w:val="none" w:sz="0" w:space="0" w:color="3D3D3D"/>
          </w:divBdr>
          <w:divsChild>
            <w:div w:id="5874207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5634803">
      <w:bodyDiv w:val="1"/>
      <w:marLeft w:val="0"/>
      <w:marRight w:val="0"/>
      <w:marTop w:val="0"/>
      <w:marBottom w:val="0"/>
      <w:divBdr>
        <w:top w:val="none" w:sz="0" w:space="0" w:color="auto"/>
        <w:left w:val="none" w:sz="0" w:space="0" w:color="auto"/>
        <w:bottom w:val="none" w:sz="0" w:space="0" w:color="auto"/>
        <w:right w:val="none" w:sz="0" w:space="0" w:color="auto"/>
      </w:divBdr>
    </w:div>
    <w:div w:id="1501503413">
      <w:bodyDiv w:val="1"/>
      <w:marLeft w:val="0"/>
      <w:marRight w:val="0"/>
      <w:marTop w:val="0"/>
      <w:marBottom w:val="0"/>
      <w:divBdr>
        <w:top w:val="none" w:sz="0" w:space="0" w:color="auto"/>
        <w:left w:val="none" w:sz="0" w:space="0" w:color="auto"/>
        <w:bottom w:val="none" w:sz="0" w:space="0" w:color="auto"/>
        <w:right w:val="none" w:sz="0" w:space="0" w:color="auto"/>
      </w:divBdr>
    </w:div>
    <w:div w:id="1543981463">
      <w:bodyDiv w:val="1"/>
      <w:marLeft w:val="0"/>
      <w:marRight w:val="0"/>
      <w:marTop w:val="0"/>
      <w:marBottom w:val="0"/>
      <w:divBdr>
        <w:top w:val="none" w:sz="0" w:space="0" w:color="auto"/>
        <w:left w:val="none" w:sz="0" w:space="0" w:color="auto"/>
        <w:bottom w:val="none" w:sz="0" w:space="0" w:color="auto"/>
        <w:right w:val="none" w:sz="0" w:space="0" w:color="auto"/>
      </w:divBdr>
      <w:divsChild>
        <w:div w:id="1115640520">
          <w:marLeft w:val="0"/>
          <w:marRight w:val="0"/>
          <w:marTop w:val="0"/>
          <w:marBottom w:val="0"/>
          <w:divBdr>
            <w:top w:val="none" w:sz="0" w:space="0" w:color="3D3D3D"/>
            <w:left w:val="none" w:sz="0" w:space="0" w:color="3D3D3D"/>
            <w:bottom w:val="none" w:sz="0" w:space="0" w:color="3D3D3D"/>
            <w:right w:val="none" w:sz="0" w:space="0" w:color="3D3D3D"/>
          </w:divBdr>
          <w:divsChild>
            <w:div w:id="2249903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1138007">
      <w:bodyDiv w:val="1"/>
      <w:marLeft w:val="0"/>
      <w:marRight w:val="0"/>
      <w:marTop w:val="0"/>
      <w:marBottom w:val="0"/>
      <w:divBdr>
        <w:top w:val="none" w:sz="0" w:space="0" w:color="auto"/>
        <w:left w:val="none" w:sz="0" w:space="0" w:color="auto"/>
        <w:bottom w:val="none" w:sz="0" w:space="0" w:color="auto"/>
        <w:right w:val="none" w:sz="0" w:space="0" w:color="auto"/>
      </w:divBdr>
    </w:div>
    <w:div w:id="1567179962">
      <w:bodyDiv w:val="1"/>
      <w:marLeft w:val="0"/>
      <w:marRight w:val="0"/>
      <w:marTop w:val="0"/>
      <w:marBottom w:val="0"/>
      <w:divBdr>
        <w:top w:val="none" w:sz="0" w:space="0" w:color="auto"/>
        <w:left w:val="none" w:sz="0" w:space="0" w:color="auto"/>
        <w:bottom w:val="none" w:sz="0" w:space="0" w:color="auto"/>
        <w:right w:val="none" w:sz="0" w:space="0" w:color="auto"/>
      </w:divBdr>
      <w:divsChild>
        <w:div w:id="1817457003">
          <w:marLeft w:val="0"/>
          <w:marRight w:val="0"/>
          <w:marTop w:val="0"/>
          <w:marBottom w:val="0"/>
          <w:divBdr>
            <w:top w:val="none" w:sz="0" w:space="0" w:color="auto"/>
            <w:left w:val="none" w:sz="0" w:space="0" w:color="auto"/>
            <w:bottom w:val="none" w:sz="0" w:space="0" w:color="auto"/>
            <w:right w:val="none" w:sz="0" w:space="0" w:color="auto"/>
          </w:divBdr>
          <w:divsChild>
            <w:div w:id="11934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492">
      <w:bodyDiv w:val="1"/>
      <w:marLeft w:val="0"/>
      <w:marRight w:val="0"/>
      <w:marTop w:val="0"/>
      <w:marBottom w:val="0"/>
      <w:divBdr>
        <w:top w:val="none" w:sz="0" w:space="0" w:color="auto"/>
        <w:left w:val="none" w:sz="0" w:space="0" w:color="auto"/>
        <w:bottom w:val="none" w:sz="0" w:space="0" w:color="auto"/>
        <w:right w:val="none" w:sz="0" w:space="0" w:color="auto"/>
      </w:divBdr>
      <w:divsChild>
        <w:div w:id="39130676">
          <w:marLeft w:val="0"/>
          <w:marRight w:val="0"/>
          <w:marTop w:val="0"/>
          <w:marBottom w:val="0"/>
          <w:divBdr>
            <w:top w:val="none" w:sz="0" w:space="0" w:color="3D3D3D"/>
            <w:left w:val="none" w:sz="0" w:space="0" w:color="3D3D3D"/>
            <w:bottom w:val="none" w:sz="0" w:space="0" w:color="3D3D3D"/>
            <w:right w:val="none" w:sz="0" w:space="0" w:color="3D3D3D"/>
          </w:divBdr>
          <w:divsChild>
            <w:div w:id="19219799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4856700">
      <w:bodyDiv w:val="1"/>
      <w:marLeft w:val="0"/>
      <w:marRight w:val="0"/>
      <w:marTop w:val="0"/>
      <w:marBottom w:val="0"/>
      <w:divBdr>
        <w:top w:val="none" w:sz="0" w:space="0" w:color="auto"/>
        <w:left w:val="none" w:sz="0" w:space="0" w:color="auto"/>
        <w:bottom w:val="none" w:sz="0" w:space="0" w:color="auto"/>
        <w:right w:val="none" w:sz="0" w:space="0" w:color="auto"/>
      </w:divBdr>
    </w:div>
    <w:div w:id="1603607660">
      <w:bodyDiv w:val="1"/>
      <w:marLeft w:val="0"/>
      <w:marRight w:val="0"/>
      <w:marTop w:val="0"/>
      <w:marBottom w:val="0"/>
      <w:divBdr>
        <w:top w:val="none" w:sz="0" w:space="0" w:color="auto"/>
        <w:left w:val="none" w:sz="0" w:space="0" w:color="auto"/>
        <w:bottom w:val="none" w:sz="0" w:space="0" w:color="auto"/>
        <w:right w:val="none" w:sz="0" w:space="0" w:color="auto"/>
      </w:divBdr>
      <w:divsChild>
        <w:div w:id="1522279496">
          <w:marLeft w:val="0"/>
          <w:marRight w:val="0"/>
          <w:marTop w:val="0"/>
          <w:marBottom w:val="0"/>
          <w:divBdr>
            <w:top w:val="none" w:sz="0" w:space="0" w:color="212121"/>
            <w:left w:val="none" w:sz="0" w:space="0" w:color="212121"/>
            <w:bottom w:val="none" w:sz="0" w:space="0" w:color="212121"/>
            <w:right w:val="none" w:sz="0" w:space="0" w:color="212121"/>
          </w:divBdr>
          <w:divsChild>
            <w:div w:id="99072055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644579386">
      <w:bodyDiv w:val="1"/>
      <w:marLeft w:val="0"/>
      <w:marRight w:val="0"/>
      <w:marTop w:val="0"/>
      <w:marBottom w:val="0"/>
      <w:divBdr>
        <w:top w:val="none" w:sz="0" w:space="0" w:color="auto"/>
        <w:left w:val="none" w:sz="0" w:space="0" w:color="auto"/>
        <w:bottom w:val="none" w:sz="0" w:space="0" w:color="auto"/>
        <w:right w:val="none" w:sz="0" w:space="0" w:color="auto"/>
      </w:divBdr>
    </w:div>
    <w:div w:id="1649044552">
      <w:bodyDiv w:val="1"/>
      <w:marLeft w:val="0"/>
      <w:marRight w:val="0"/>
      <w:marTop w:val="0"/>
      <w:marBottom w:val="0"/>
      <w:divBdr>
        <w:top w:val="none" w:sz="0" w:space="0" w:color="auto"/>
        <w:left w:val="none" w:sz="0" w:space="0" w:color="auto"/>
        <w:bottom w:val="none" w:sz="0" w:space="0" w:color="auto"/>
        <w:right w:val="none" w:sz="0" w:space="0" w:color="auto"/>
      </w:divBdr>
    </w:div>
    <w:div w:id="1655833096">
      <w:bodyDiv w:val="1"/>
      <w:marLeft w:val="0"/>
      <w:marRight w:val="0"/>
      <w:marTop w:val="0"/>
      <w:marBottom w:val="0"/>
      <w:divBdr>
        <w:top w:val="none" w:sz="0" w:space="0" w:color="auto"/>
        <w:left w:val="none" w:sz="0" w:space="0" w:color="auto"/>
        <w:bottom w:val="none" w:sz="0" w:space="0" w:color="auto"/>
        <w:right w:val="none" w:sz="0" w:space="0" w:color="auto"/>
      </w:divBdr>
      <w:divsChild>
        <w:div w:id="969286090">
          <w:marLeft w:val="0"/>
          <w:marRight w:val="0"/>
          <w:marTop w:val="0"/>
          <w:marBottom w:val="0"/>
          <w:divBdr>
            <w:top w:val="none" w:sz="0" w:space="0" w:color="3D3D3D"/>
            <w:left w:val="none" w:sz="0" w:space="0" w:color="3D3D3D"/>
            <w:bottom w:val="none" w:sz="0" w:space="0" w:color="3D3D3D"/>
            <w:right w:val="none" w:sz="0" w:space="0" w:color="3D3D3D"/>
          </w:divBdr>
          <w:divsChild>
            <w:div w:id="13259375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1691029">
      <w:bodyDiv w:val="1"/>
      <w:marLeft w:val="0"/>
      <w:marRight w:val="0"/>
      <w:marTop w:val="0"/>
      <w:marBottom w:val="0"/>
      <w:divBdr>
        <w:top w:val="none" w:sz="0" w:space="0" w:color="auto"/>
        <w:left w:val="none" w:sz="0" w:space="0" w:color="auto"/>
        <w:bottom w:val="none" w:sz="0" w:space="0" w:color="auto"/>
        <w:right w:val="none" w:sz="0" w:space="0" w:color="auto"/>
      </w:divBdr>
      <w:divsChild>
        <w:div w:id="1701082686">
          <w:marLeft w:val="0"/>
          <w:marRight w:val="0"/>
          <w:marTop w:val="0"/>
          <w:marBottom w:val="0"/>
          <w:divBdr>
            <w:top w:val="none" w:sz="0" w:space="0" w:color="3D3D3D"/>
            <w:left w:val="none" w:sz="0" w:space="0" w:color="3D3D3D"/>
            <w:bottom w:val="none" w:sz="0" w:space="0" w:color="3D3D3D"/>
            <w:right w:val="none" w:sz="0" w:space="0" w:color="3D3D3D"/>
          </w:divBdr>
          <w:divsChild>
            <w:div w:id="11493211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3853118">
      <w:bodyDiv w:val="1"/>
      <w:marLeft w:val="0"/>
      <w:marRight w:val="0"/>
      <w:marTop w:val="0"/>
      <w:marBottom w:val="0"/>
      <w:divBdr>
        <w:top w:val="none" w:sz="0" w:space="0" w:color="auto"/>
        <w:left w:val="none" w:sz="0" w:space="0" w:color="auto"/>
        <w:bottom w:val="none" w:sz="0" w:space="0" w:color="auto"/>
        <w:right w:val="none" w:sz="0" w:space="0" w:color="auto"/>
      </w:divBdr>
      <w:divsChild>
        <w:div w:id="1226452617">
          <w:marLeft w:val="0"/>
          <w:marRight w:val="0"/>
          <w:marTop w:val="0"/>
          <w:marBottom w:val="0"/>
          <w:divBdr>
            <w:top w:val="none" w:sz="0" w:space="0" w:color="3D3D3D"/>
            <w:left w:val="none" w:sz="0" w:space="0" w:color="3D3D3D"/>
            <w:bottom w:val="none" w:sz="0" w:space="0" w:color="3D3D3D"/>
            <w:right w:val="none" w:sz="0" w:space="0" w:color="3D3D3D"/>
          </w:divBdr>
          <w:divsChild>
            <w:div w:id="20599380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6202388">
      <w:bodyDiv w:val="1"/>
      <w:marLeft w:val="0"/>
      <w:marRight w:val="0"/>
      <w:marTop w:val="0"/>
      <w:marBottom w:val="0"/>
      <w:divBdr>
        <w:top w:val="none" w:sz="0" w:space="0" w:color="auto"/>
        <w:left w:val="none" w:sz="0" w:space="0" w:color="auto"/>
        <w:bottom w:val="none" w:sz="0" w:space="0" w:color="auto"/>
        <w:right w:val="none" w:sz="0" w:space="0" w:color="auto"/>
      </w:divBdr>
      <w:divsChild>
        <w:div w:id="2090153153">
          <w:marLeft w:val="360"/>
          <w:marRight w:val="0"/>
          <w:marTop w:val="200"/>
          <w:marBottom w:val="0"/>
          <w:divBdr>
            <w:top w:val="none" w:sz="0" w:space="0" w:color="auto"/>
            <w:left w:val="none" w:sz="0" w:space="0" w:color="auto"/>
            <w:bottom w:val="none" w:sz="0" w:space="0" w:color="auto"/>
            <w:right w:val="none" w:sz="0" w:space="0" w:color="auto"/>
          </w:divBdr>
        </w:div>
      </w:divsChild>
    </w:div>
    <w:div w:id="1678146966">
      <w:bodyDiv w:val="1"/>
      <w:marLeft w:val="0"/>
      <w:marRight w:val="0"/>
      <w:marTop w:val="0"/>
      <w:marBottom w:val="0"/>
      <w:divBdr>
        <w:top w:val="none" w:sz="0" w:space="0" w:color="auto"/>
        <w:left w:val="none" w:sz="0" w:space="0" w:color="auto"/>
        <w:bottom w:val="none" w:sz="0" w:space="0" w:color="auto"/>
        <w:right w:val="none" w:sz="0" w:space="0" w:color="auto"/>
      </w:divBdr>
    </w:div>
    <w:div w:id="1693654090">
      <w:bodyDiv w:val="1"/>
      <w:marLeft w:val="0"/>
      <w:marRight w:val="0"/>
      <w:marTop w:val="0"/>
      <w:marBottom w:val="0"/>
      <w:divBdr>
        <w:top w:val="none" w:sz="0" w:space="0" w:color="auto"/>
        <w:left w:val="none" w:sz="0" w:space="0" w:color="auto"/>
        <w:bottom w:val="none" w:sz="0" w:space="0" w:color="auto"/>
        <w:right w:val="none" w:sz="0" w:space="0" w:color="auto"/>
      </w:divBdr>
      <w:divsChild>
        <w:div w:id="1629121543">
          <w:marLeft w:val="0"/>
          <w:marRight w:val="0"/>
          <w:marTop w:val="0"/>
          <w:marBottom w:val="0"/>
          <w:divBdr>
            <w:top w:val="none" w:sz="0" w:space="0" w:color="3D3D3D"/>
            <w:left w:val="none" w:sz="0" w:space="0" w:color="3D3D3D"/>
            <w:bottom w:val="none" w:sz="0" w:space="0" w:color="3D3D3D"/>
            <w:right w:val="none" w:sz="0" w:space="0" w:color="3D3D3D"/>
          </w:divBdr>
          <w:divsChild>
            <w:div w:id="17420247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5592336">
      <w:bodyDiv w:val="1"/>
      <w:marLeft w:val="0"/>
      <w:marRight w:val="0"/>
      <w:marTop w:val="0"/>
      <w:marBottom w:val="0"/>
      <w:divBdr>
        <w:top w:val="none" w:sz="0" w:space="0" w:color="auto"/>
        <w:left w:val="none" w:sz="0" w:space="0" w:color="auto"/>
        <w:bottom w:val="none" w:sz="0" w:space="0" w:color="auto"/>
        <w:right w:val="none" w:sz="0" w:space="0" w:color="auto"/>
      </w:divBdr>
      <w:divsChild>
        <w:div w:id="374895283">
          <w:marLeft w:val="0"/>
          <w:marRight w:val="0"/>
          <w:marTop w:val="0"/>
          <w:marBottom w:val="0"/>
          <w:divBdr>
            <w:top w:val="none" w:sz="0" w:space="0" w:color="3D3D3D"/>
            <w:left w:val="none" w:sz="0" w:space="0" w:color="3D3D3D"/>
            <w:bottom w:val="none" w:sz="0" w:space="0" w:color="3D3D3D"/>
            <w:right w:val="none" w:sz="0" w:space="0" w:color="3D3D3D"/>
          </w:divBdr>
          <w:divsChild>
            <w:div w:id="2810366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8064920">
      <w:bodyDiv w:val="1"/>
      <w:marLeft w:val="0"/>
      <w:marRight w:val="0"/>
      <w:marTop w:val="0"/>
      <w:marBottom w:val="0"/>
      <w:divBdr>
        <w:top w:val="none" w:sz="0" w:space="0" w:color="auto"/>
        <w:left w:val="none" w:sz="0" w:space="0" w:color="auto"/>
        <w:bottom w:val="none" w:sz="0" w:space="0" w:color="auto"/>
        <w:right w:val="none" w:sz="0" w:space="0" w:color="auto"/>
      </w:divBdr>
    </w:div>
    <w:div w:id="1736080371">
      <w:bodyDiv w:val="1"/>
      <w:marLeft w:val="0"/>
      <w:marRight w:val="0"/>
      <w:marTop w:val="0"/>
      <w:marBottom w:val="0"/>
      <w:divBdr>
        <w:top w:val="none" w:sz="0" w:space="0" w:color="auto"/>
        <w:left w:val="none" w:sz="0" w:space="0" w:color="auto"/>
        <w:bottom w:val="none" w:sz="0" w:space="0" w:color="auto"/>
        <w:right w:val="none" w:sz="0" w:space="0" w:color="auto"/>
      </w:divBdr>
    </w:div>
    <w:div w:id="1751996406">
      <w:bodyDiv w:val="1"/>
      <w:marLeft w:val="0"/>
      <w:marRight w:val="0"/>
      <w:marTop w:val="0"/>
      <w:marBottom w:val="0"/>
      <w:divBdr>
        <w:top w:val="none" w:sz="0" w:space="0" w:color="auto"/>
        <w:left w:val="none" w:sz="0" w:space="0" w:color="auto"/>
        <w:bottom w:val="none" w:sz="0" w:space="0" w:color="auto"/>
        <w:right w:val="none" w:sz="0" w:space="0" w:color="auto"/>
      </w:divBdr>
      <w:divsChild>
        <w:div w:id="1249071599">
          <w:marLeft w:val="0"/>
          <w:marRight w:val="0"/>
          <w:marTop w:val="0"/>
          <w:marBottom w:val="0"/>
          <w:divBdr>
            <w:top w:val="none" w:sz="0" w:space="0" w:color="3D3D3D"/>
            <w:left w:val="none" w:sz="0" w:space="0" w:color="3D3D3D"/>
            <w:bottom w:val="none" w:sz="0" w:space="0" w:color="3D3D3D"/>
            <w:right w:val="none" w:sz="0" w:space="0" w:color="3D3D3D"/>
          </w:divBdr>
          <w:divsChild>
            <w:div w:id="19178617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60103762">
      <w:bodyDiv w:val="1"/>
      <w:marLeft w:val="0"/>
      <w:marRight w:val="0"/>
      <w:marTop w:val="0"/>
      <w:marBottom w:val="0"/>
      <w:divBdr>
        <w:top w:val="none" w:sz="0" w:space="0" w:color="auto"/>
        <w:left w:val="none" w:sz="0" w:space="0" w:color="auto"/>
        <w:bottom w:val="none" w:sz="0" w:space="0" w:color="auto"/>
        <w:right w:val="none" w:sz="0" w:space="0" w:color="auto"/>
      </w:divBdr>
    </w:div>
    <w:div w:id="1841119522">
      <w:bodyDiv w:val="1"/>
      <w:marLeft w:val="0"/>
      <w:marRight w:val="0"/>
      <w:marTop w:val="0"/>
      <w:marBottom w:val="0"/>
      <w:divBdr>
        <w:top w:val="none" w:sz="0" w:space="0" w:color="auto"/>
        <w:left w:val="none" w:sz="0" w:space="0" w:color="auto"/>
        <w:bottom w:val="none" w:sz="0" w:space="0" w:color="auto"/>
        <w:right w:val="none" w:sz="0" w:space="0" w:color="auto"/>
      </w:divBdr>
    </w:div>
    <w:div w:id="1848055260">
      <w:bodyDiv w:val="1"/>
      <w:marLeft w:val="0"/>
      <w:marRight w:val="0"/>
      <w:marTop w:val="0"/>
      <w:marBottom w:val="0"/>
      <w:divBdr>
        <w:top w:val="none" w:sz="0" w:space="0" w:color="auto"/>
        <w:left w:val="none" w:sz="0" w:space="0" w:color="auto"/>
        <w:bottom w:val="none" w:sz="0" w:space="0" w:color="auto"/>
        <w:right w:val="none" w:sz="0" w:space="0" w:color="auto"/>
      </w:divBdr>
      <w:divsChild>
        <w:div w:id="545414760">
          <w:marLeft w:val="0"/>
          <w:marRight w:val="0"/>
          <w:marTop w:val="0"/>
          <w:marBottom w:val="0"/>
          <w:divBdr>
            <w:top w:val="none" w:sz="0" w:space="0" w:color="3D3D3D"/>
            <w:left w:val="none" w:sz="0" w:space="0" w:color="3D3D3D"/>
            <w:bottom w:val="none" w:sz="0" w:space="0" w:color="3D3D3D"/>
            <w:right w:val="none" w:sz="0" w:space="0" w:color="3D3D3D"/>
          </w:divBdr>
          <w:divsChild>
            <w:div w:id="8471418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6339816">
      <w:bodyDiv w:val="1"/>
      <w:marLeft w:val="0"/>
      <w:marRight w:val="0"/>
      <w:marTop w:val="0"/>
      <w:marBottom w:val="0"/>
      <w:divBdr>
        <w:top w:val="none" w:sz="0" w:space="0" w:color="auto"/>
        <w:left w:val="none" w:sz="0" w:space="0" w:color="auto"/>
        <w:bottom w:val="none" w:sz="0" w:space="0" w:color="auto"/>
        <w:right w:val="none" w:sz="0" w:space="0" w:color="auto"/>
      </w:divBdr>
    </w:div>
    <w:div w:id="1860043617">
      <w:bodyDiv w:val="1"/>
      <w:marLeft w:val="0"/>
      <w:marRight w:val="0"/>
      <w:marTop w:val="0"/>
      <w:marBottom w:val="0"/>
      <w:divBdr>
        <w:top w:val="none" w:sz="0" w:space="0" w:color="auto"/>
        <w:left w:val="none" w:sz="0" w:space="0" w:color="auto"/>
        <w:bottom w:val="none" w:sz="0" w:space="0" w:color="auto"/>
        <w:right w:val="none" w:sz="0" w:space="0" w:color="auto"/>
      </w:divBdr>
      <w:divsChild>
        <w:div w:id="915549860">
          <w:marLeft w:val="0"/>
          <w:marRight w:val="0"/>
          <w:marTop w:val="0"/>
          <w:marBottom w:val="0"/>
          <w:divBdr>
            <w:top w:val="none" w:sz="0" w:space="0" w:color="212121"/>
            <w:left w:val="none" w:sz="0" w:space="0" w:color="212121"/>
            <w:bottom w:val="none" w:sz="0" w:space="0" w:color="212121"/>
            <w:right w:val="none" w:sz="0" w:space="0" w:color="212121"/>
          </w:divBdr>
          <w:divsChild>
            <w:div w:id="20082757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958222253">
      <w:bodyDiv w:val="1"/>
      <w:marLeft w:val="0"/>
      <w:marRight w:val="0"/>
      <w:marTop w:val="0"/>
      <w:marBottom w:val="0"/>
      <w:divBdr>
        <w:top w:val="none" w:sz="0" w:space="0" w:color="auto"/>
        <w:left w:val="none" w:sz="0" w:space="0" w:color="auto"/>
        <w:bottom w:val="none" w:sz="0" w:space="0" w:color="auto"/>
        <w:right w:val="none" w:sz="0" w:space="0" w:color="auto"/>
      </w:divBdr>
      <w:divsChild>
        <w:div w:id="664629502">
          <w:marLeft w:val="0"/>
          <w:marRight w:val="0"/>
          <w:marTop w:val="0"/>
          <w:marBottom w:val="0"/>
          <w:divBdr>
            <w:top w:val="none" w:sz="0" w:space="0" w:color="3D3D3D"/>
            <w:left w:val="none" w:sz="0" w:space="0" w:color="3D3D3D"/>
            <w:bottom w:val="none" w:sz="0" w:space="0" w:color="3D3D3D"/>
            <w:right w:val="none" w:sz="0" w:space="0" w:color="3D3D3D"/>
          </w:divBdr>
          <w:divsChild>
            <w:div w:id="4062729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1499903">
      <w:bodyDiv w:val="1"/>
      <w:marLeft w:val="0"/>
      <w:marRight w:val="0"/>
      <w:marTop w:val="0"/>
      <w:marBottom w:val="0"/>
      <w:divBdr>
        <w:top w:val="none" w:sz="0" w:space="0" w:color="auto"/>
        <w:left w:val="none" w:sz="0" w:space="0" w:color="auto"/>
        <w:bottom w:val="none" w:sz="0" w:space="0" w:color="auto"/>
        <w:right w:val="none" w:sz="0" w:space="0" w:color="auto"/>
      </w:divBdr>
    </w:div>
    <w:div w:id="1983460296">
      <w:bodyDiv w:val="1"/>
      <w:marLeft w:val="0"/>
      <w:marRight w:val="0"/>
      <w:marTop w:val="0"/>
      <w:marBottom w:val="0"/>
      <w:divBdr>
        <w:top w:val="none" w:sz="0" w:space="0" w:color="auto"/>
        <w:left w:val="none" w:sz="0" w:space="0" w:color="auto"/>
        <w:bottom w:val="none" w:sz="0" w:space="0" w:color="auto"/>
        <w:right w:val="none" w:sz="0" w:space="0" w:color="auto"/>
      </w:divBdr>
    </w:div>
    <w:div w:id="1987541316">
      <w:bodyDiv w:val="1"/>
      <w:marLeft w:val="0"/>
      <w:marRight w:val="0"/>
      <w:marTop w:val="0"/>
      <w:marBottom w:val="0"/>
      <w:divBdr>
        <w:top w:val="none" w:sz="0" w:space="0" w:color="auto"/>
        <w:left w:val="none" w:sz="0" w:space="0" w:color="auto"/>
        <w:bottom w:val="none" w:sz="0" w:space="0" w:color="auto"/>
        <w:right w:val="none" w:sz="0" w:space="0" w:color="auto"/>
      </w:divBdr>
      <w:divsChild>
        <w:div w:id="917984161">
          <w:marLeft w:val="0"/>
          <w:marRight w:val="0"/>
          <w:marTop w:val="0"/>
          <w:marBottom w:val="0"/>
          <w:divBdr>
            <w:top w:val="none" w:sz="0" w:space="0" w:color="3D3D3D"/>
            <w:left w:val="none" w:sz="0" w:space="0" w:color="3D3D3D"/>
            <w:bottom w:val="none" w:sz="0" w:space="0" w:color="3D3D3D"/>
            <w:right w:val="none" w:sz="0" w:space="0" w:color="3D3D3D"/>
          </w:divBdr>
          <w:divsChild>
            <w:div w:id="2559846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8781960">
      <w:bodyDiv w:val="1"/>
      <w:marLeft w:val="0"/>
      <w:marRight w:val="0"/>
      <w:marTop w:val="0"/>
      <w:marBottom w:val="0"/>
      <w:divBdr>
        <w:top w:val="none" w:sz="0" w:space="0" w:color="auto"/>
        <w:left w:val="none" w:sz="0" w:space="0" w:color="auto"/>
        <w:bottom w:val="none" w:sz="0" w:space="0" w:color="auto"/>
        <w:right w:val="none" w:sz="0" w:space="0" w:color="auto"/>
      </w:divBdr>
      <w:divsChild>
        <w:div w:id="849566963">
          <w:marLeft w:val="0"/>
          <w:marRight w:val="0"/>
          <w:marTop w:val="0"/>
          <w:marBottom w:val="0"/>
          <w:divBdr>
            <w:top w:val="none" w:sz="0" w:space="0" w:color="212121"/>
            <w:left w:val="none" w:sz="0" w:space="0" w:color="212121"/>
            <w:bottom w:val="none" w:sz="0" w:space="0" w:color="212121"/>
            <w:right w:val="none" w:sz="0" w:space="0" w:color="212121"/>
          </w:divBdr>
          <w:divsChild>
            <w:div w:id="1926841087">
              <w:marLeft w:val="0"/>
              <w:marRight w:val="0"/>
              <w:marTop w:val="0"/>
              <w:marBottom w:val="0"/>
              <w:divBdr>
                <w:top w:val="none" w:sz="0" w:space="0" w:color="212121"/>
                <w:left w:val="none" w:sz="0" w:space="0" w:color="212121"/>
                <w:bottom w:val="none" w:sz="0" w:space="0" w:color="212121"/>
                <w:right w:val="none" w:sz="0" w:space="0" w:color="212121"/>
              </w:divBdr>
              <w:divsChild>
                <w:div w:id="1987121656">
                  <w:marLeft w:val="0"/>
                  <w:marRight w:val="0"/>
                  <w:marTop w:val="0"/>
                  <w:marBottom w:val="0"/>
                  <w:divBdr>
                    <w:top w:val="none" w:sz="0" w:space="0" w:color="212121"/>
                    <w:left w:val="none" w:sz="0" w:space="0" w:color="212121"/>
                    <w:bottom w:val="none" w:sz="0" w:space="0" w:color="212121"/>
                    <w:right w:val="none" w:sz="0" w:space="0" w:color="212121"/>
                  </w:divBdr>
                </w:div>
              </w:divsChild>
            </w:div>
            <w:div w:id="1331912878">
              <w:marLeft w:val="0"/>
              <w:marRight w:val="0"/>
              <w:marTop w:val="240"/>
              <w:marBottom w:val="0"/>
              <w:divBdr>
                <w:top w:val="none" w:sz="0" w:space="0" w:color="212121"/>
                <w:left w:val="none" w:sz="0" w:space="0" w:color="212121"/>
                <w:bottom w:val="none" w:sz="0" w:space="0" w:color="212121"/>
                <w:right w:val="none" w:sz="0" w:space="0" w:color="212121"/>
              </w:divBdr>
              <w:divsChild>
                <w:div w:id="1504122537">
                  <w:marLeft w:val="0"/>
                  <w:marRight w:val="0"/>
                  <w:marTop w:val="0"/>
                  <w:marBottom w:val="0"/>
                  <w:divBdr>
                    <w:top w:val="none" w:sz="0" w:space="0" w:color="212121"/>
                    <w:left w:val="none" w:sz="0" w:space="0" w:color="212121"/>
                    <w:bottom w:val="none" w:sz="0" w:space="0" w:color="212121"/>
                    <w:right w:val="none" w:sz="0" w:space="0" w:color="212121"/>
                  </w:divBdr>
                </w:div>
              </w:divsChild>
            </w:div>
            <w:div w:id="2018922633">
              <w:marLeft w:val="0"/>
              <w:marRight w:val="0"/>
              <w:marTop w:val="240"/>
              <w:marBottom w:val="0"/>
              <w:divBdr>
                <w:top w:val="none" w:sz="0" w:space="0" w:color="212121"/>
                <w:left w:val="none" w:sz="0" w:space="0" w:color="212121"/>
                <w:bottom w:val="none" w:sz="0" w:space="0" w:color="212121"/>
                <w:right w:val="none" w:sz="0" w:space="0" w:color="212121"/>
              </w:divBdr>
              <w:divsChild>
                <w:div w:id="118761805">
                  <w:marLeft w:val="0"/>
                  <w:marRight w:val="0"/>
                  <w:marTop w:val="0"/>
                  <w:marBottom w:val="0"/>
                  <w:divBdr>
                    <w:top w:val="none" w:sz="0" w:space="0" w:color="212121"/>
                    <w:left w:val="none" w:sz="0" w:space="0" w:color="212121"/>
                    <w:bottom w:val="none" w:sz="0" w:space="0" w:color="212121"/>
                    <w:right w:val="none" w:sz="0" w:space="0" w:color="212121"/>
                  </w:divBdr>
                </w:div>
              </w:divsChild>
            </w:div>
            <w:div w:id="877351776">
              <w:marLeft w:val="0"/>
              <w:marRight w:val="0"/>
              <w:marTop w:val="240"/>
              <w:marBottom w:val="0"/>
              <w:divBdr>
                <w:top w:val="none" w:sz="0" w:space="0" w:color="212121"/>
                <w:left w:val="none" w:sz="0" w:space="0" w:color="212121"/>
                <w:bottom w:val="none" w:sz="0" w:space="0" w:color="212121"/>
                <w:right w:val="none" w:sz="0" w:space="0" w:color="212121"/>
              </w:divBdr>
              <w:divsChild>
                <w:div w:id="884298025">
                  <w:marLeft w:val="0"/>
                  <w:marRight w:val="0"/>
                  <w:marTop w:val="0"/>
                  <w:marBottom w:val="0"/>
                  <w:divBdr>
                    <w:top w:val="none" w:sz="0" w:space="0" w:color="212121"/>
                    <w:left w:val="none" w:sz="0" w:space="0" w:color="212121"/>
                    <w:bottom w:val="none" w:sz="0" w:space="0" w:color="212121"/>
                    <w:right w:val="none" w:sz="0" w:space="0" w:color="212121"/>
                  </w:divBdr>
                </w:div>
              </w:divsChild>
            </w:div>
            <w:div w:id="1587113572">
              <w:marLeft w:val="0"/>
              <w:marRight w:val="0"/>
              <w:marTop w:val="240"/>
              <w:marBottom w:val="0"/>
              <w:divBdr>
                <w:top w:val="none" w:sz="0" w:space="0" w:color="212121"/>
                <w:left w:val="none" w:sz="0" w:space="0" w:color="212121"/>
                <w:bottom w:val="none" w:sz="0" w:space="0" w:color="212121"/>
                <w:right w:val="none" w:sz="0" w:space="0" w:color="212121"/>
              </w:divBdr>
              <w:divsChild>
                <w:div w:id="765808921">
                  <w:marLeft w:val="0"/>
                  <w:marRight w:val="0"/>
                  <w:marTop w:val="0"/>
                  <w:marBottom w:val="0"/>
                  <w:divBdr>
                    <w:top w:val="none" w:sz="0" w:space="0" w:color="212121"/>
                    <w:left w:val="none" w:sz="0" w:space="0" w:color="212121"/>
                    <w:bottom w:val="none" w:sz="0" w:space="0" w:color="212121"/>
                    <w:right w:val="none" w:sz="0" w:space="0" w:color="212121"/>
                  </w:divBdr>
                </w:div>
              </w:divsChild>
            </w:div>
            <w:div w:id="6829267">
              <w:marLeft w:val="0"/>
              <w:marRight w:val="0"/>
              <w:marTop w:val="240"/>
              <w:marBottom w:val="0"/>
              <w:divBdr>
                <w:top w:val="none" w:sz="0" w:space="0" w:color="212121"/>
                <w:left w:val="none" w:sz="0" w:space="0" w:color="212121"/>
                <w:bottom w:val="none" w:sz="0" w:space="0" w:color="212121"/>
                <w:right w:val="none" w:sz="0" w:space="0" w:color="212121"/>
              </w:divBdr>
              <w:divsChild>
                <w:div w:id="507908838">
                  <w:marLeft w:val="0"/>
                  <w:marRight w:val="0"/>
                  <w:marTop w:val="0"/>
                  <w:marBottom w:val="0"/>
                  <w:divBdr>
                    <w:top w:val="none" w:sz="0" w:space="0" w:color="212121"/>
                    <w:left w:val="none" w:sz="0" w:space="0" w:color="212121"/>
                    <w:bottom w:val="none" w:sz="0" w:space="0" w:color="212121"/>
                    <w:right w:val="none" w:sz="0" w:space="0" w:color="212121"/>
                  </w:divBdr>
                </w:div>
              </w:divsChild>
            </w:div>
            <w:div w:id="510216999">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2019115388">
      <w:bodyDiv w:val="1"/>
      <w:marLeft w:val="0"/>
      <w:marRight w:val="0"/>
      <w:marTop w:val="0"/>
      <w:marBottom w:val="0"/>
      <w:divBdr>
        <w:top w:val="none" w:sz="0" w:space="0" w:color="auto"/>
        <w:left w:val="none" w:sz="0" w:space="0" w:color="auto"/>
        <w:bottom w:val="none" w:sz="0" w:space="0" w:color="auto"/>
        <w:right w:val="none" w:sz="0" w:space="0" w:color="auto"/>
      </w:divBdr>
    </w:div>
    <w:div w:id="2027562512">
      <w:bodyDiv w:val="1"/>
      <w:marLeft w:val="0"/>
      <w:marRight w:val="0"/>
      <w:marTop w:val="0"/>
      <w:marBottom w:val="0"/>
      <w:divBdr>
        <w:top w:val="none" w:sz="0" w:space="0" w:color="auto"/>
        <w:left w:val="none" w:sz="0" w:space="0" w:color="auto"/>
        <w:bottom w:val="none" w:sz="0" w:space="0" w:color="auto"/>
        <w:right w:val="none" w:sz="0" w:space="0" w:color="auto"/>
      </w:divBdr>
      <w:divsChild>
        <w:div w:id="718018848">
          <w:marLeft w:val="0"/>
          <w:marRight w:val="0"/>
          <w:marTop w:val="0"/>
          <w:marBottom w:val="0"/>
          <w:divBdr>
            <w:top w:val="none" w:sz="0" w:space="0" w:color="3D3D3D"/>
            <w:left w:val="none" w:sz="0" w:space="0" w:color="3D3D3D"/>
            <w:bottom w:val="none" w:sz="0" w:space="0" w:color="3D3D3D"/>
            <w:right w:val="none" w:sz="0" w:space="0" w:color="3D3D3D"/>
          </w:divBdr>
          <w:divsChild>
            <w:div w:id="9746007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4453955">
      <w:bodyDiv w:val="1"/>
      <w:marLeft w:val="0"/>
      <w:marRight w:val="0"/>
      <w:marTop w:val="0"/>
      <w:marBottom w:val="0"/>
      <w:divBdr>
        <w:top w:val="none" w:sz="0" w:space="0" w:color="auto"/>
        <w:left w:val="none" w:sz="0" w:space="0" w:color="auto"/>
        <w:bottom w:val="none" w:sz="0" w:space="0" w:color="auto"/>
        <w:right w:val="none" w:sz="0" w:space="0" w:color="auto"/>
      </w:divBdr>
    </w:div>
    <w:div w:id="2094667871">
      <w:bodyDiv w:val="1"/>
      <w:marLeft w:val="0"/>
      <w:marRight w:val="0"/>
      <w:marTop w:val="0"/>
      <w:marBottom w:val="0"/>
      <w:divBdr>
        <w:top w:val="none" w:sz="0" w:space="0" w:color="auto"/>
        <w:left w:val="none" w:sz="0" w:space="0" w:color="auto"/>
        <w:bottom w:val="none" w:sz="0" w:space="0" w:color="auto"/>
        <w:right w:val="none" w:sz="0" w:space="0" w:color="auto"/>
      </w:divBdr>
      <w:divsChild>
        <w:div w:id="1414861024">
          <w:marLeft w:val="0"/>
          <w:marRight w:val="0"/>
          <w:marTop w:val="0"/>
          <w:marBottom w:val="0"/>
          <w:divBdr>
            <w:top w:val="none" w:sz="0" w:space="0" w:color="auto"/>
            <w:left w:val="none" w:sz="0" w:space="0" w:color="auto"/>
            <w:bottom w:val="none" w:sz="0" w:space="0" w:color="auto"/>
            <w:right w:val="none" w:sz="0" w:space="0" w:color="auto"/>
          </w:divBdr>
          <w:divsChild>
            <w:div w:id="1117021270">
              <w:marLeft w:val="0"/>
              <w:marRight w:val="0"/>
              <w:marTop w:val="0"/>
              <w:marBottom w:val="0"/>
              <w:divBdr>
                <w:top w:val="none" w:sz="0" w:space="0" w:color="auto"/>
                <w:left w:val="none" w:sz="0" w:space="0" w:color="auto"/>
                <w:bottom w:val="none" w:sz="0" w:space="0" w:color="auto"/>
                <w:right w:val="none" w:sz="0" w:space="0" w:color="auto"/>
              </w:divBdr>
              <w:divsChild>
                <w:div w:id="604656577">
                  <w:marLeft w:val="0"/>
                  <w:marRight w:val="0"/>
                  <w:marTop w:val="0"/>
                  <w:marBottom w:val="0"/>
                  <w:divBdr>
                    <w:top w:val="none" w:sz="0" w:space="0" w:color="auto"/>
                    <w:left w:val="none" w:sz="0" w:space="0" w:color="auto"/>
                    <w:bottom w:val="none" w:sz="0" w:space="0" w:color="auto"/>
                    <w:right w:val="none" w:sz="0" w:space="0" w:color="auto"/>
                  </w:divBdr>
                  <w:divsChild>
                    <w:div w:id="1807502079">
                      <w:marLeft w:val="0"/>
                      <w:marRight w:val="0"/>
                      <w:marTop w:val="0"/>
                      <w:marBottom w:val="0"/>
                      <w:divBdr>
                        <w:top w:val="none" w:sz="0" w:space="0" w:color="auto"/>
                        <w:left w:val="none" w:sz="0" w:space="0" w:color="auto"/>
                        <w:bottom w:val="none" w:sz="0" w:space="0" w:color="auto"/>
                        <w:right w:val="none" w:sz="0" w:space="0" w:color="auto"/>
                      </w:divBdr>
                      <w:divsChild>
                        <w:div w:id="874580676">
                          <w:marLeft w:val="0"/>
                          <w:marRight w:val="0"/>
                          <w:marTop w:val="0"/>
                          <w:marBottom w:val="0"/>
                          <w:divBdr>
                            <w:top w:val="none" w:sz="0" w:space="0" w:color="auto"/>
                            <w:left w:val="none" w:sz="0" w:space="0" w:color="auto"/>
                            <w:bottom w:val="none" w:sz="0" w:space="0" w:color="auto"/>
                            <w:right w:val="none" w:sz="0" w:space="0" w:color="auto"/>
                          </w:divBdr>
                        </w:div>
                        <w:div w:id="296878214">
                          <w:marLeft w:val="0"/>
                          <w:marRight w:val="0"/>
                          <w:marTop w:val="0"/>
                          <w:marBottom w:val="0"/>
                          <w:divBdr>
                            <w:top w:val="none" w:sz="0" w:space="0" w:color="auto"/>
                            <w:left w:val="none" w:sz="0" w:space="0" w:color="auto"/>
                            <w:bottom w:val="none" w:sz="0" w:space="0" w:color="auto"/>
                            <w:right w:val="none" w:sz="0" w:space="0" w:color="auto"/>
                          </w:divBdr>
                        </w:div>
                        <w:div w:id="2839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368986">
      <w:bodyDiv w:val="1"/>
      <w:marLeft w:val="0"/>
      <w:marRight w:val="0"/>
      <w:marTop w:val="0"/>
      <w:marBottom w:val="0"/>
      <w:divBdr>
        <w:top w:val="none" w:sz="0" w:space="0" w:color="auto"/>
        <w:left w:val="none" w:sz="0" w:space="0" w:color="auto"/>
        <w:bottom w:val="none" w:sz="0" w:space="0" w:color="auto"/>
        <w:right w:val="none" w:sz="0" w:space="0" w:color="auto"/>
      </w:divBdr>
    </w:div>
    <w:div w:id="214638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file:///C:\Users\ashleypennington\Downloads\See" TargetMode="External"/><Relationship Id="rId13" Type="http://schemas.openxmlformats.org/officeDocument/2006/relationships/hyperlink" Target="https://www.sec.gov/divisions/corpfin/guidance/13e-3-interps.htm" TargetMode="External"/><Relationship Id="rId3" Type="http://schemas.openxmlformats.org/officeDocument/2006/relationships/hyperlink" Target="https://papers.ssrn.com/sol3/papers.cfm?abstract_id=4965438" TargetMode="External"/><Relationship Id="rId7" Type="http://schemas.openxmlformats.org/officeDocument/2006/relationships/hyperlink" Target="https://hbr.org/1997/05/whats-it-worth-a-general-managersguide-to-valuation" TargetMode="External"/><Relationship Id="rId12" Type="http://schemas.openxmlformats.org/officeDocument/2006/relationships/hyperlink" Target="https://corpgov.law.harvard.edu/2020/04/18/going-private-transactions/" TargetMode="External"/><Relationship Id="rId2" Type="http://schemas.openxmlformats.org/officeDocument/2006/relationships/hyperlink" Target="https://insideevs.com/news/661555/tesla-most-valuable-automotive-brand-in-world/" TargetMode="External"/><Relationship Id="rId1" Type="http://schemas.openxmlformats.org/officeDocument/2006/relationships/hyperlink" Target="https://papers.ssrn.com/sol3/papers.cfm?abstract_id=4849281" TargetMode="External"/><Relationship Id="rId6" Type="http://schemas.openxmlformats.org/officeDocument/2006/relationships/hyperlink" Target="https://www.ecgi.global/sites/default/files/working_papers/documents/nevadavdelaware.pdf" TargetMode="External"/><Relationship Id="rId11" Type="http://schemas.openxmlformats.org/officeDocument/2006/relationships/hyperlink" Target="https://www.pon.harvard.edu/tag/adversarial-bargaining/" TargetMode="External"/><Relationship Id="rId5" Type="http://schemas.openxmlformats.org/officeDocument/2006/relationships/hyperlink" Target="https://www.weforum.org/agenda/2022/07/women-entrepreneurs-gusto-gender/" TargetMode="External"/><Relationship Id="rId15" Type="http://schemas.openxmlformats.org/officeDocument/2006/relationships/hyperlink" Target="https://ssrn.com/abstract=4929197" TargetMode="External"/><Relationship Id="rId10" Type="http://schemas.openxmlformats.org/officeDocument/2006/relationships/hyperlink" Target="https://www.wsj.com/articles/ford-ceo-received-16-7m-pay-for-2017-1522360484" TargetMode="External"/><Relationship Id="rId4" Type="http://schemas.openxmlformats.org/officeDocument/2006/relationships/hyperlink" Target="https://courts.delaware.gov/Opinions/Download.aspx?id=372420" TargetMode="External"/><Relationship Id="rId9" Type="http://schemas.openxmlformats.org/officeDocument/2006/relationships/hyperlink" Target="https://www.cnbc.com/2024/01/18/passive-investing-rules-wall-street-now-topping-actively-managed-assets-in-stock-bond-and-other-funds.html" TargetMode="External"/><Relationship Id="rId14" Type="http://schemas.openxmlformats.org/officeDocument/2006/relationships/hyperlink" Target="https://corpgov.law.harvard.edu/2024/05/06/ma-developments-hedge-fund-activ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EFC5-86AE-4FD2-AD71-19B59641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15399</Words>
  <Characters>87778</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Columbia Law Review Managing Editor</dc:creator>
  <cp:keywords/>
  <dc:description/>
  <cp:lastModifiedBy>Dorothy Lund</cp:lastModifiedBy>
  <cp:revision>3</cp:revision>
  <cp:lastPrinted>2024-12-16T22:54:00Z</cp:lastPrinted>
  <dcterms:created xsi:type="dcterms:W3CDTF">2025-02-09T18:47:00Z</dcterms:created>
  <dcterms:modified xsi:type="dcterms:W3CDTF">2025-02-09T18:47:00Z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16112f85ef8d3b895562ceb78527a512522e25411443a827255834ec95cbf226</vt:lpwstr>
  </property>
</Properties>
</file>